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BE" w:rsidRPr="005B4B81" w:rsidRDefault="002F4ABE" w:rsidP="002F4ABE">
      <w:pPr>
        <w:spacing w:after="0"/>
        <w:ind w:left="720"/>
        <w:rPr>
          <w:rFonts w:ascii="Calibri Light" w:hAnsi="Calibri Light"/>
          <w:lang w:val="sq-AL"/>
        </w:rPr>
      </w:pPr>
    </w:p>
    <w:p w:rsidR="00326042" w:rsidRPr="005B4B81" w:rsidRDefault="00C73FE7" w:rsidP="00C73FE7">
      <w:pPr>
        <w:tabs>
          <w:tab w:val="left" w:pos="900"/>
        </w:tabs>
        <w:spacing w:after="0" w:line="240" w:lineRule="auto"/>
        <w:jc w:val="both"/>
        <w:rPr>
          <w:rFonts w:ascii="Calibri Light" w:hAnsi="Calibri Light"/>
          <w:b/>
          <w:bCs/>
          <w:lang w:val="sq-AL"/>
        </w:rPr>
      </w:pPr>
      <w:r w:rsidRPr="005B4B81">
        <w:rPr>
          <w:rFonts w:ascii="Calibri Light" w:hAnsi="Calibri Light"/>
          <w:b/>
          <w:bCs/>
          <w:lang w:val="sq-AL"/>
        </w:rPr>
        <w:t xml:space="preserve"> </w:t>
      </w:r>
    </w:p>
    <w:p w:rsidR="00326042" w:rsidRPr="005B4B81" w:rsidRDefault="00326042" w:rsidP="00C73FE7">
      <w:pPr>
        <w:tabs>
          <w:tab w:val="left" w:pos="900"/>
        </w:tabs>
        <w:spacing w:after="0" w:line="240" w:lineRule="auto"/>
        <w:jc w:val="both"/>
        <w:rPr>
          <w:rFonts w:ascii="Calibri Light" w:hAnsi="Calibri Light"/>
          <w:b/>
          <w:bCs/>
          <w:lang w:val="sq-AL"/>
        </w:rPr>
      </w:pPr>
    </w:p>
    <w:p w:rsidR="00326042" w:rsidRPr="005B4B81" w:rsidRDefault="00326042" w:rsidP="00C73FE7">
      <w:pPr>
        <w:tabs>
          <w:tab w:val="left" w:pos="900"/>
        </w:tabs>
        <w:spacing w:after="0" w:line="240" w:lineRule="auto"/>
        <w:jc w:val="both"/>
        <w:rPr>
          <w:rFonts w:ascii="Calibri Light" w:hAnsi="Calibri Light"/>
          <w:b/>
          <w:bCs/>
          <w:lang w:val="sq-AL"/>
        </w:rPr>
      </w:pPr>
    </w:p>
    <w:p w:rsidR="00326042" w:rsidRPr="005B4B81" w:rsidRDefault="00326042" w:rsidP="00326042">
      <w:pPr>
        <w:jc w:val="center"/>
        <w:rPr>
          <w:rFonts w:ascii="Calibri Light" w:hAnsi="Calibri Light"/>
          <w:i/>
          <w:sz w:val="40"/>
          <w:szCs w:val="40"/>
          <w:lang w:val="sq-AL"/>
        </w:rPr>
      </w:pPr>
      <w:r w:rsidRPr="005B4B81">
        <w:rPr>
          <w:rFonts w:ascii="Calibri Light" w:hAnsi="Calibri Light"/>
          <w:b/>
          <w:bCs/>
          <w:iCs/>
          <w:sz w:val="40"/>
          <w:szCs w:val="40"/>
          <w:lang w:val="sq-AL"/>
        </w:rPr>
        <w:t xml:space="preserve">Raporti i </w:t>
      </w:r>
      <w:proofErr w:type="spellStart"/>
      <w:r w:rsidRPr="005B4B81">
        <w:rPr>
          <w:rFonts w:ascii="Calibri Light" w:hAnsi="Calibri Light"/>
          <w:b/>
          <w:bCs/>
          <w:iCs/>
          <w:sz w:val="40"/>
          <w:szCs w:val="40"/>
          <w:lang w:val="sq-AL"/>
        </w:rPr>
        <w:t>Performancës</w:t>
      </w:r>
      <w:proofErr w:type="spellEnd"/>
      <w:r w:rsidRPr="005B4B81">
        <w:rPr>
          <w:rFonts w:ascii="Calibri Light" w:hAnsi="Calibri Light"/>
          <w:b/>
          <w:bCs/>
          <w:iCs/>
          <w:sz w:val="40"/>
          <w:szCs w:val="40"/>
          <w:lang w:val="sq-AL"/>
        </w:rPr>
        <w:t xml:space="preserve"> së Komunave </w:t>
      </w:r>
      <w:r w:rsidRPr="005B4B81">
        <w:rPr>
          <w:rFonts w:ascii="Calibri Light" w:hAnsi="Calibri Light"/>
          <w:b/>
          <w:sz w:val="40"/>
          <w:szCs w:val="40"/>
          <w:lang w:val="sq-AL"/>
        </w:rPr>
        <w:t xml:space="preserve">2017 </w:t>
      </w:r>
    </w:p>
    <w:p w:rsidR="00326042" w:rsidRPr="005B4B81" w:rsidRDefault="00326042" w:rsidP="00326042">
      <w:pPr>
        <w:jc w:val="right"/>
        <w:rPr>
          <w:rFonts w:ascii="Calibri Light" w:hAnsi="Calibri Light"/>
          <w:i/>
          <w:sz w:val="26"/>
          <w:szCs w:val="26"/>
          <w:lang w:val="sq-AL"/>
        </w:rPr>
      </w:pPr>
      <w:r w:rsidRPr="005B4B81">
        <w:rPr>
          <w:rFonts w:ascii="Calibri Light" w:hAnsi="Calibri Light"/>
          <w:i/>
          <w:sz w:val="26"/>
          <w:szCs w:val="26"/>
          <w:lang w:val="sq-AL"/>
        </w:rPr>
        <w:t>Hartues i raportit:</w:t>
      </w:r>
    </w:p>
    <w:p w:rsidR="00326042" w:rsidRPr="005B4B81" w:rsidRDefault="00326042" w:rsidP="00326042">
      <w:pPr>
        <w:spacing w:after="0"/>
        <w:jc w:val="right"/>
        <w:rPr>
          <w:rFonts w:ascii="Calibri Light" w:hAnsi="Calibri Light"/>
          <w:i/>
          <w:sz w:val="26"/>
          <w:szCs w:val="26"/>
          <w:lang w:val="sq-AL"/>
        </w:rPr>
      </w:pPr>
      <w:r w:rsidRPr="005B4B81">
        <w:rPr>
          <w:rFonts w:ascii="Calibri Light" w:hAnsi="Calibri Light"/>
          <w:b/>
          <w:bCs/>
          <w:i/>
          <w:sz w:val="26"/>
          <w:szCs w:val="26"/>
          <w:lang w:val="sq-AL"/>
        </w:rPr>
        <w:t>Ministria e Administrimit të Pushtetit Lokal</w:t>
      </w:r>
    </w:p>
    <w:p w:rsidR="00326042" w:rsidRPr="005B4B81" w:rsidRDefault="00326042" w:rsidP="00326042">
      <w:pPr>
        <w:spacing w:after="0"/>
        <w:jc w:val="right"/>
        <w:rPr>
          <w:rFonts w:ascii="Calibri Light" w:hAnsi="Calibri Light"/>
          <w:i/>
          <w:sz w:val="26"/>
          <w:szCs w:val="26"/>
          <w:lang w:val="sq-AL"/>
        </w:rPr>
      </w:pPr>
      <w:r w:rsidRPr="005B4B81">
        <w:rPr>
          <w:rFonts w:ascii="Calibri Light" w:hAnsi="Calibri Light"/>
          <w:i/>
          <w:sz w:val="26"/>
          <w:szCs w:val="26"/>
          <w:lang w:val="sq-AL"/>
        </w:rPr>
        <w:t>Përpunimi i të dhënave:</w:t>
      </w:r>
    </w:p>
    <w:p w:rsidR="00326042" w:rsidRPr="005B4B81" w:rsidRDefault="00326042" w:rsidP="00326042">
      <w:pPr>
        <w:spacing w:after="0"/>
        <w:jc w:val="right"/>
        <w:rPr>
          <w:rFonts w:ascii="Calibri Light" w:hAnsi="Calibri Light"/>
          <w:b/>
          <w:i/>
          <w:sz w:val="26"/>
          <w:szCs w:val="26"/>
          <w:lang w:val="sq-AL"/>
        </w:rPr>
      </w:pPr>
      <w:r w:rsidRPr="005B4B81">
        <w:rPr>
          <w:rFonts w:ascii="Calibri Light" w:hAnsi="Calibri Light"/>
          <w:b/>
          <w:i/>
          <w:sz w:val="26"/>
          <w:szCs w:val="26"/>
          <w:lang w:val="sq-AL"/>
        </w:rPr>
        <w:t xml:space="preserve">Departamenti për </w:t>
      </w:r>
      <w:proofErr w:type="spellStart"/>
      <w:r w:rsidRPr="005B4B81">
        <w:rPr>
          <w:rFonts w:ascii="Calibri Light" w:hAnsi="Calibri Light"/>
          <w:b/>
          <w:i/>
          <w:sz w:val="26"/>
          <w:szCs w:val="26"/>
          <w:lang w:val="sq-AL"/>
        </w:rPr>
        <w:t>Performancë</w:t>
      </w:r>
      <w:proofErr w:type="spellEnd"/>
      <w:r w:rsidRPr="005B4B81">
        <w:rPr>
          <w:rFonts w:ascii="Calibri Light" w:hAnsi="Calibri Light"/>
          <w:b/>
          <w:i/>
          <w:sz w:val="26"/>
          <w:szCs w:val="26"/>
          <w:lang w:val="sq-AL"/>
        </w:rPr>
        <w:t xml:space="preserve"> dhe </w:t>
      </w:r>
      <w:proofErr w:type="spellStart"/>
      <w:r w:rsidRPr="005B4B81">
        <w:rPr>
          <w:rFonts w:ascii="Calibri Light" w:hAnsi="Calibri Light"/>
          <w:b/>
          <w:i/>
          <w:sz w:val="26"/>
          <w:szCs w:val="26"/>
          <w:lang w:val="sq-AL"/>
        </w:rPr>
        <w:t>Transaprarencë</w:t>
      </w:r>
      <w:proofErr w:type="spellEnd"/>
      <w:r w:rsidRPr="005B4B81">
        <w:rPr>
          <w:rFonts w:ascii="Calibri Light" w:hAnsi="Calibri Light"/>
          <w:b/>
          <w:i/>
          <w:sz w:val="26"/>
          <w:szCs w:val="26"/>
          <w:lang w:val="sq-AL"/>
        </w:rPr>
        <w:t xml:space="preserve"> Komunale</w:t>
      </w:r>
    </w:p>
    <w:p w:rsidR="00326042" w:rsidRPr="005B4B81" w:rsidRDefault="00326042" w:rsidP="00C73FE7">
      <w:pPr>
        <w:tabs>
          <w:tab w:val="left" w:pos="900"/>
        </w:tabs>
        <w:spacing w:after="0" w:line="240" w:lineRule="auto"/>
        <w:jc w:val="both"/>
        <w:rPr>
          <w:rFonts w:ascii="Calibri Light" w:hAnsi="Calibri Light"/>
          <w:b/>
          <w:bCs/>
          <w:sz w:val="26"/>
          <w:szCs w:val="26"/>
          <w:lang w:val="sq-AL"/>
        </w:rPr>
      </w:pPr>
    </w:p>
    <w:p w:rsidR="005B0010" w:rsidRPr="005B4B81" w:rsidRDefault="005B0010" w:rsidP="005B0010">
      <w:pPr>
        <w:pStyle w:val="Heading1"/>
        <w:rPr>
          <w:rFonts w:ascii="Calibri Light" w:hAnsi="Calibri Light"/>
          <w:sz w:val="36"/>
          <w:szCs w:val="36"/>
        </w:rPr>
      </w:pPr>
      <w:proofErr w:type="spellStart"/>
      <w:r w:rsidRPr="005B4B81">
        <w:rPr>
          <w:rFonts w:ascii="Calibri Light" w:hAnsi="Calibri Light"/>
          <w:sz w:val="36"/>
          <w:szCs w:val="36"/>
        </w:rPr>
        <w:t>Performanca</w:t>
      </w:r>
      <w:proofErr w:type="spellEnd"/>
      <w:r w:rsidRPr="005B4B81">
        <w:rPr>
          <w:rFonts w:ascii="Calibri Light" w:hAnsi="Calibri Light"/>
          <w:sz w:val="36"/>
          <w:szCs w:val="36"/>
        </w:rPr>
        <w:t xml:space="preserve"> e përgjithshme sipas komunave</w:t>
      </w:r>
    </w:p>
    <w:p w:rsidR="005B0010" w:rsidRPr="005B4B81" w:rsidRDefault="005B0010" w:rsidP="005B0010">
      <w:pPr>
        <w:tabs>
          <w:tab w:val="left" w:pos="900"/>
        </w:tabs>
        <w:spacing w:line="240" w:lineRule="auto"/>
        <w:jc w:val="both"/>
        <w:rPr>
          <w:rFonts w:ascii="Calibri Light" w:hAnsi="Calibri Light"/>
          <w:sz w:val="26"/>
          <w:szCs w:val="26"/>
          <w:lang w:val="sq-AL"/>
        </w:rPr>
      </w:pPr>
      <w:r w:rsidRPr="005B4B81">
        <w:rPr>
          <w:rFonts w:ascii="Calibri Light" w:hAnsi="Calibri Light"/>
          <w:sz w:val="26"/>
          <w:szCs w:val="26"/>
          <w:lang w:val="sq-AL"/>
        </w:rPr>
        <w:t xml:space="preserve">Treguesit përfaqësojnë bazën kryesore llogaritëse dhe informuese për shkallën e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arrijes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së rezultateve. Treguesit ofrojnë informata të mjaftueshme për  t`iu mundësuar komunave dhe palëve të tjera të interesit që të masin ose  të vlerësojnë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performancën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e tyre në ofrimin e shërbimeve në fushat përkatëse. SMPK ka gjithsej 64+12 tregues, prej të cilëve janë matë 64 dhe janë pjesë e këtij raporti. Treguesi 1.1.3. nuk është matë për shkak të mungesës së programit përkatës elektronik. Vlerat e secilit tregues i kemi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elboruar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në kuadër të secilit rezultat dhe fushë, në kapitullin 5. Derisa në nënkapitullin më lartë i kemi përshkruar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detajisht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arritjet e përgjithshme të rezultateve sipas fushave përkatëse nëpërmjet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treguesëve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, ndërsa në këtë nënkapitull do t’i trajtojmë arritjet e përgjithshme të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performancës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sipas komunave. </w:t>
      </w:r>
    </w:p>
    <w:p w:rsidR="00326042" w:rsidRPr="005B4B81" w:rsidRDefault="00326042" w:rsidP="00C73FE7">
      <w:pPr>
        <w:tabs>
          <w:tab w:val="left" w:pos="900"/>
        </w:tabs>
        <w:spacing w:after="0" w:line="240" w:lineRule="auto"/>
        <w:jc w:val="both"/>
        <w:rPr>
          <w:rFonts w:ascii="Calibri Light" w:hAnsi="Calibri Light"/>
          <w:b/>
          <w:bCs/>
          <w:sz w:val="16"/>
          <w:szCs w:val="16"/>
          <w:lang w:val="sq-AL"/>
        </w:rPr>
      </w:pPr>
    </w:p>
    <w:p w:rsidR="000128DE" w:rsidRPr="005B4B81" w:rsidRDefault="000128DE" w:rsidP="00C73FE7">
      <w:pPr>
        <w:tabs>
          <w:tab w:val="left" w:pos="900"/>
        </w:tabs>
        <w:spacing w:after="0" w:line="240" w:lineRule="auto"/>
        <w:jc w:val="both"/>
        <w:rPr>
          <w:rFonts w:ascii="Calibri Light" w:hAnsi="Calibri Light"/>
          <w:b/>
          <w:bCs/>
          <w:sz w:val="26"/>
          <w:szCs w:val="26"/>
          <w:lang w:val="sq-AL"/>
        </w:rPr>
      </w:pPr>
      <w:r w:rsidRPr="005B4B81">
        <w:rPr>
          <w:rFonts w:ascii="Calibri Light" w:hAnsi="Calibri Light"/>
          <w:b/>
          <w:bCs/>
          <w:sz w:val="26"/>
          <w:szCs w:val="26"/>
          <w:lang w:val="sq-AL"/>
        </w:rPr>
        <w:t xml:space="preserve">Arritjet e përgjithshme të </w:t>
      </w:r>
      <w:proofErr w:type="spellStart"/>
      <w:r w:rsidRPr="005B4B81">
        <w:rPr>
          <w:rFonts w:ascii="Calibri Light" w:hAnsi="Calibri Light"/>
          <w:b/>
          <w:bCs/>
          <w:sz w:val="26"/>
          <w:szCs w:val="26"/>
          <w:lang w:val="sq-AL"/>
        </w:rPr>
        <w:t>performancës</w:t>
      </w:r>
      <w:proofErr w:type="spellEnd"/>
      <w:r w:rsidRPr="005B4B81">
        <w:rPr>
          <w:rFonts w:ascii="Calibri Light" w:hAnsi="Calibri Light"/>
          <w:b/>
          <w:bCs/>
          <w:sz w:val="26"/>
          <w:szCs w:val="26"/>
          <w:lang w:val="sq-AL"/>
        </w:rPr>
        <w:t xml:space="preserve"> sipas komunave </w:t>
      </w:r>
    </w:p>
    <w:p w:rsidR="000128DE" w:rsidRPr="005B4B81" w:rsidRDefault="000128DE" w:rsidP="000128DE">
      <w:pPr>
        <w:tabs>
          <w:tab w:val="left" w:pos="900"/>
        </w:tabs>
        <w:spacing w:after="0" w:line="240" w:lineRule="auto"/>
        <w:jc w:val="both"/>
        <w:rPr>
          <w:rFonts w:ascii="Calibri Light" w:hAnsi="Calibri Light"/>
          <w:sz w:val="16"/>
          <w:szCs w:val="16"/>
          <w:lang w:val="sq-AL"/>
        </w:rPr>
      </w:pPr>
    </w:p>
    <w:p w:rsidR="000128DE" w:rsidRPr="005B4B81" w:rsidRDefault="000128DE" w:rsidP="000128DE">
      <w:pPr>
        <w:tabs>
          <w:tab w:val="left" w:pos="900"/>
        </w:tabs>
        <w:spacing w:after="0" w:line="240" w:lineRule="auto"/>
        <w:jc w:val="both"/>
        <w:rPr>
          <w:rFonts w:ascii="Calibri Light" w:hAnsi="Calibri Light"/>
          <w:sz w:val="26"/>
          <w:szCs w:val="26"/>
          <w:lang w:val="sq-AL"/>
        </w:rPr>
      </w:pPr>
      <w:r w:rsidRPr="005B4B81">
        <w:rPr>
          <w:rFonts w:ascii="Calibri Light" w:hAnsi="Calibri Light"/>
          <w:sz w:val="26"/>
          <w:szCs w:val="26"/>
          <w:lang w:val="sq-AL"/>
        </w:rPr>
        <w:t xml:space="preserve">Komunat, për vitin 2017,  kanë arritur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performancë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të përgjithshme prej  59.47%. Arritja e përgjithshme e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performancës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sipas komunave dhe renditja e komunave sipas arritjeve, fillon me komunën e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Mamushës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(arritja më e ulët 33.24 %) dhe përfundon me komunën e Junikut (arritje më e lartë 79.68%). Është interesant se edhe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Mamusha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, edhe Juniku janë komuna të reja, të formuara pas shpalljes së pavarësisë së Kosovës. Rezultati na tregon se themelimi i komunave të reja nuk mund të gjykohet për mos sukses. Prej 35 komunave që janë hulumtuar, shumica prej tyre 24, kanë treguar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performancë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të nivelit të mesëm dhe shtrihen në të dy anët e mesatares së Kosovës 59.47 %. Vlerat e arritjeve kanë marrë një trajtë përafërsisht cilindrike, që tregon për shkallë të lartë të qën</w:t>
      </w:r>
      <w:r w:rsidRPr="005B4B81">
        <w:rPr>
          <w:rFonts w:ascii="Calibri Light" w:hAnsi="Calibri Light"/>
          <w:sz w:val="26"/>
          <w:szCs w:val="26"/>
          <w:lang w:val="sq-AL"/>
        </w:rPr>
        <w:softHyphen/>
        <w:t xml:space="preserve">drueshmërisë në matje dhe në arritje të komunave. Kjo tregon për një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performancë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të njëtrajt</w:t>
      </w:r>
      <w:r w:rsidRPr="005B4B81">
        <w:rPr>
          <w:rFonts w:ascii="Calibri Light" w:hAnsi="Calibri Light"/>
          <w:sz w:val="26"/>
          <w:szCs w:val="26"/>
          <w:lang w:val="sq-AL"/>
        </w:rPr>
        <w:softHyphen/>
        <w:t xml:space="preserve">shme, pa dallime të mëdha prej njërës në komunën tjetër. Po ashtu analizat tregojnë se numri më i madh i komunave 20 kanë arritur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performancë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mbi mesataren e</w:t>
      </w:r>
      <w:r w:rsidR="00326042" w:rsidRPr="005B4B81">
        <w:rPr>
          <w:rFonts w:ascii="Calibri Light" w:hAnsi="Calibri Light"/>
          <w:sz w:val="26"/>
          <w:szCs w:val="26"/>
          <w:lang w:val="sq-AL"/>
        </w:rPr>
        <w:t xml:space="preserve"> vendit. Një arritje uniforme (</w:t>
      </w:r>
      <w:r w:rsidRPr="005B4B81">
        <w:rPr>
          <w:rFonts w:ascii="Calibri Light" w:hAnsi="Calibri Light"/>
          <w:sz w:val="26"/>
          <w:szCs w:val="26"/>
          <w:lang w:val="sq-AL"/>
        </w:rPr>
        <w:t xml:space="preserve">e njëtrajtshme) e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performancës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vërehet edhe sipas kategorive përkatëse të sistemit të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performancës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>: treguesve; rezu</w:t>
      </w:r>
      <w:r w:rsidRPr="005B4B81">
        <w:rPr>
          <w:rFonts w:ascii="Calibri Light" w:hAnsi="Calibri Light"/>
          <w:sz w:val="26"/>
          <w:szCs w:val="26"/>
          <w:lang w:val="sq-AL"/>
        </w:rPr>
        <w:softHyphen/>
        <w:t xml:space="preserve">ltateve dhe fushave përkatëse. </w:t>
      </w:r>
    </w:p>
    <w:p w:rsidR="000128DE" w:rsidRPr="005B4B81" w:rsidRDefault="000128DE" w:rsidP="000128DE">
      <w:pPr>
        <w:tabs>
          <w:tab w:val="left" w:pos="900"/>
        </w:tabs>
        <w:spacing w:after="0" w:line="240" w:lineRule="auto"/>
        <w:jc w:val="both"/>
        <w:rPr>
          <w:rFonts w:ascii="Calibri Light" w:hAnsi="Calibri Light"/>
          <w:lang w:val="sq-AL"/>
        </w:rPr>
      </w:pPr>
    </w:p>
    <w:p w:rsidR="000128DE" w:rsidRPr="005B4B81" w:rsidRDefault="000128DE" w:rsidP="000128DE">
      <w:pPr>
        <w:tabs>
          <w:tab w:val="left" w:pos="900"/>
        </w:tabs>
        <w:spacing w:after="0" w:line="240" w:lineRule="auto"/>
        <w:jc w:val="both"/>
        <w:rPr>
          <w:rFonts w:ascii="Calibri Light" w:hAnsi="Calibri Light"/>
          <w:lang w:val="sq-AL"/>
        </w:rPr>
      </w:pPr>
      <w:r w:rsidRPr="005B4B81">
        <w:rPr>
          <w:noProof/>
          <w:lang w:val="sq-AL"/>
        </w:rPr>
        <w:lastRenderedPageBreak/>
        <w:drawing>
          <wp:inline distT="0" distB="0" distL="0" distR="0">
            <wp:extent cx="5699760" cy="6316980"/>
            <wp:effectExtent l="0" t="0" r="15240" b="7620"/>
            <wp:docPr id="1" name="Chart 1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128DE" w:rsidRPr="005B4B81" w:rsidRDefault="000128DE" w:rsidP="000128DE">
      <w:pPr>
        <w:tabs>
          <w:tab w:val="left" w:pos="900"/>
        </w:tabs>
        <w:spacing w:after="0" w:line="240" w:lineRule="auto"/>
        <w:jc w:val="both"/>
        <w:rPr>
          <w:rFonts w:ascii="Calibri Light" w:hAnsi="Calibri Light"/>
          <w:lang w:val="sq-AL"/>
        </w:rPr>
      </w:pPr>
    </w:p>
    <w:p w:rsidR="00C73FE7" w:rsidRPr="005B4B81" w:rsidRDefault="000128DE" w:rsidP="000128DE">
      <w:pPr>
        <w:tabs>
          <w:tab w:val="left" w:pos="900"/>
        </w:tabs>
        <w:spacing w:after="0" w:line="240" w:lineRule="auto"/>
        <w:jc w:val="both"/>
        <w:rPr>
          <w:rFonts w:ascii="Calibri Light" w:hAnsi="Calibri Light"/>
          <w:sz w:val="26"/>
          <w:szCs w:val="26"/>
          <w:lang w:val="sq-AL"/>
        </w:rPr>
      </w:pPr>
      <w:r w:rsidRPr="005B4B81">
        <w:rPr>
          <w:rFonts w:ascii="Calibri Light" w:hAnsi="Calibri Light"/>
          <w:sz w:val="26"/>
          <w:szCs w:val="26"/>
          <w:lang w:val="sq-AL"/>
        </w:rPr>
        <w:t xml:space="preserve">Në bazë të klasifikimit të përgjithshëm, është 1 komunë e re (e vogël) me 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performancë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më të lartë - Juniku me 79.68% dhe . Janë edhe 4 komuna të mëdha</w:t>
      </w:r>
      <w:r w:rsidRPr="005B4B81">
        <w:rPr>
          <w:rStyle w:val="CommentReference"/>
          <w:rFonts w:ascii="Calibri Light" w:hAnsi="Calibri Light"/>
          <w:sz w:val="26"/>
          <w:szCs w:val="26"/>
          <w:lang w:val="sq-AL"/>
        </w:rPr>
        <w:t xml:space="preserve">, </w:t>
      </w:r>
      <w:r w:rsidRPr="005B4B81">
        <w:rPr>
          <w:rFonts w:ascii="Calibri Light" w:hAnsi="Calibri Light"/>
          <w:sz w:val="26"/>
          <w:szCs w:val="26"/>
          <w:lang w:val="sq-AL"/>
        </w:rPr>
        <w:t xml:space="preserve">Gjilani, Prishtina, Ferizaj dhe Pejë dhe komunë e mesme Fushë Kosovë që kanë arritje të lartë të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performancës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. Prishtina si kryeqytet është  këtë grup të komunave.  Komuna Leposaviq është përfshirë ne kalkulim vetëm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indikatorët e rijnë ku si rezultat ne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garfikon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janë me ngjyre t</w:t>
      </w:r>
      <w:r w:rsidR="00326042" w:rsidRPr="005B4B81">
        <w:rPr>
          <w:rFonts w:ascii="Calibri Light" w:hAnsi="Calibri Light"/>
          <w:sz w:val="26"/>
          <w:szCs w:val="26"/>
          <w:lang w:val="sq-AL"/>
        </w:rPr>
        <w:t>ë</w:t>
      </w:r>
      <w:r w:rsidRPr="005B4B81">
        <w:rPr>
          <w:rFonts w:ascii="Calibri Light" w:hAnsi="Calibri Light"/>
          <w:sz w:val="26"/>
          <w:szCs w:val="26"/>
          <w:lang w:val="sq-AL"/>
        </w:rPr>
        <w:t xml:space="preserve"> kuqe.</w:t>
      </w:r>
    </w:p>
    <w:p w:rsidR="00C73FE7" w:rsidRPr="005B4B81" w:rsidRDefault="00C73FE7" w:rsidP="00C73FE7">
      <w:pPr>
        <w:pStyle w:val="Heading1"/>
        <w:rPr>
          <w:rFonts w:ascii="Calibri Light" w:hAnsi="Calibri Light" w:cs="Tw Cen MT Condensed Extra Bold"/>
          <w:b w:val="0"/>
          <w:bCs w:val="0"/>
          <w:sz w:val="26"/>
          <w:szCs w:val="26"/>
        </w:rPr>
      </w:pPr>
      <w:bookmarkStart w:id="0" w:name="_Toc512339523"/>
      <w:bookmarkStart w:id="1" w:name="_Toc512339993"/>
      <w:r w:rsidRPr="005B4B81">
        <w:rPr>
          <w:rFonts w:ascii="Calibri Light" w:hAnsi="Calibri Light" w:cs="Tw Cen MT Condensed Extra Bold"/>
          <w:bCs w:val="0"/>
          <w:sz w:val="26"/>
          <w:szCs w:val="26"/>
        </w:rPr>
        <w:t>Dokumentimi i të dhënave</w:t>
      </w:r>
      <w:bookmarkEnd w:id="0"/>
      <w:bookmarkEnd w:id="1"/>
    </w:p>
    <w:p w:rsidR="00C73FE7" w:rsidRPr="005B4B81" w:rsidRDefault="00C73FE7" w:rsidP="00C73FE7">
      <w:pPr>
        <w:tabs>
          <w:tab w:val="left" w:pos="900"/>
        </w:tabs>
        <w:spacing w:after="0" w:line="240" w:lineRule="auto"/>
        <w:rPr>
          <w:rFonts w:ascii="Calibri Light" w:hAnsi="Calibri Light" w:cs="Tw Cen MT Condensed Extra Bold"/>
          <w:sz w:val="16"/>
          <w:szCs w:val="16"/>
          <w:lang w:val="sq-AL"/>
        </w:rPr>
      </w:pPr>
    </w:p>
    <w:p w:rsidR="00C73FE7" w:rsidRPr="005B4B81" w:rsidRDefault="00C73FE7" w:rsidP="00C73FE7">
      <w:pPr>
        <w:tabs>
          <w:tab w:val="left" w:pos="900"/>
        </w:tabs>
        <w:spacing w:after="0" w:line="240" w:lineRule="auto"/>
        <w:jc w:val="both"/>
        <w:rPr>
          <w:rFonts w:ascii="Calibri Light" w:hAnsi="Calibri Light" w:cs="Tw Cen MT Condensed Extra Bold"/>
          <w:sz w:val="26"/>
          <w:szCs w:val="26"/>
          <w:lang w:val="sq-AL"/>
        </w:rPr>
      </w:pPr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 xml:space="preserve">Për shkallën e dokumentimit të </w:t>
      </w:r>
      <w:proofErr w:type="spellStart"/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>të</w:t>
      </w:r>
      <w:proofErr w:type="spellEnd"/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 xml:space="preserve"> dhënave, komunat kanë treguar një shkallëzim më të theksuar se sa ai i </w:t>
      </w:r>
      <w:proofErr w:type="spellStart"/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>performancës</w:t>
      </w:r>
      <w:proofErr w:type="spellEnd"/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>, por pa rezultate ekstreme. Analizat tregojnë se shtrirja e rezultateve për dokumentimin e të dhënave është shumë e gjerë, prej 0 – 100.00%. Vlen të theksohet se shumica e komunave (22) i takon grupit të komunave me shkallë të lartë të dokumentimit (70– 100.00 ), pastaj vjen numri i dytë i komu</w:t>
      </w:r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softHyphen/>
        <w:t xml:space="preserve">nave, gjithsej 7 komuna, me shkallë të mesme të dokumentimit të </w:t>
      </w:r>
      <w:proofErr w:type="spellStart"/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>të</w:t>
      </w:r>
      <w:proofErr w:type="spellEnd"/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 xml:space="preserve"> dhënave (43.80 - 64.01%) dhe në </w:t>
      </w:r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lastRenderedPageBreak/>
        <w:t xml:space="preserve">fund grupi i komunave (5), me shkallë të ulët të dokumentimit (0 – 27.50%). Radhitja e komunave me shkallë të lartë të dokumentimit nuk është e njëjtë me radhitjen e komunave sipas </w:t>
      </w:r>
      <w:proofErr w:type="spellStart"/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>performancës</w:t>
      </w:r>
      <w:proofErr w:type="spellEnd"/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 xml:space="preserve">. </w:t>
      </w:r>
    </w:p>
    <w:p w:rsidR="00C73FE7" w:rsidRPr="005B4B81" w:rsidRDefault="00C73FE7" w:rsidP="00C73FE7">
      <w:pPr>
        <w:tabs>
          <w:tab w:val="left" w:pos="900"/>
        </w:tabs>
        <w:spacing w:after="0" w:line="240" w:lineRule="auto"/>
        <w:rPr>
          <w:rFonts w:ascii="Calibri Light" w:hAnsi="Calibri Light" w:cs="Tw Cen MT Condensed Extra Bold"/>
          <w:sz w:val="16"/>
          <w:szCs w:val="16"/>
          <w:lang w:val="sq-AL"/>
        </w:rPr>
      </w:pPr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 xml:space="preserve"> </w:t>
      </w:r>
    </w:p>
    <w:p w:rsidR="00C73FE7" w:rsidRPr="005B4B81" w:rsidRDefault="00C73FE7" w:rsidP="00326042">
      <w:pPr>
        <w:tabs>
          <w:tab w:val="left" w:pos="900"/>
        </w:tabs>
        <w:spacing w:after="0" w:line="240" w:lineRule="auto"/>
        <w:jc w:val="both"/>
        <w:rPr>
          <w:rFonts w:ascii="Calibri Light" w:hAnsi="Calibri Light" w:cs="Tw Cen MT Condensed Extra Bold"/>
          <w:sz w:val="26"/>
          <w:szCs w:val="26"/>
          <w:lang w:val="sq-AL"/>
        </w:rPr>
      </w:pPr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 xml:space="preserve">Shkallën më të lartë të dokumentimit të </w:t>
      </w:r>
      <w:proofErr w:type="spellStart"/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>të</w:t>
      </w:r>
      <w:proofErr w:type="spellEnd"/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 xml:space="preserve"> dhënave e kanë shënuar këto komuna: Ferizaj, (100.00%) Novobërdë (98.04%), Shtërpcë (96.09%), Malishevë (96.09%), Dragash (96.09%), Gjilan (95.03%), Podujevë (93.08%), Kamenicë (92.02%), Kaçanik (90.06%), Junik (89.01 %). Për shkallën e dokumentimit,  në përgjithësi mund të themi se </w:t>
      </w:r>
      <w:proofErr w:type="spellStart"/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>performanca</w:t>
      </w:r>
      <w:proofErr w:type="spellEnd"/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 xml:space="preserve"> e lartë e komunave nuk përcillet në masën më të madhe edhe me shkallë të lartë të dokumentimit. Edhe pse shumica e komunave (14 ) kanë treguar shkallë të lartë të dokumentimit, kjo nuk është e kënaqshme dhe duhet të përmirësohet në vitet e ardhshme . </w:t>
      </w:r>
    </w:p>
    <w:p w:rsidR="00326042" w:rsidRPr="005B4B81" w:rsidRDefault="00326042" w:rsidP="00326042">
      <w:pPr>
        <w:tabs>
          <w:tab w:val="left" w:pos="900"/>
        </w:tabs>
        <w:spacing w:after="0" w:line="240" w:lineRule="auto"/>
        <w:jc w:val="both"/>
        <w:rPr>
          <w:rFonts w:ascii="Calibri Light" w:hAnsi="Calibri Light" w:cs="Tw Cen MT Condensed Extra Bold"/>
          <w:sz w:val="24"/>
          <w:szCs w:val="24"/>
          <w:lang w:val="sq-AL"/>
        </w:rPr>
      </w:pPr>
    </w:p>
    <w:p w:rsidR="00C73FE7" w:rsidRPr="005B4B81" w:rsidRDefault="00C73FE7" w:rsidP="00C73FE7">
      <w:pPr>
        <w:rPr>
          <w:rFonts w:ascii="Calibri Light" w:hAnsi="Calibri Light"/>
          <w:sz w:val="32"/>
          <w:szCs w:val="32"/>
          <w:lang w:val="sq-AL"/>
        </w:rPr>
      </w:pPr>
      <w:r w:rsidRPr="005B4B81">
        <w:rPr>
          <w:rFonts w:ascii="Calibri Light" w:hAnsi="Calibri Light"/>
          <w:noProof/>
          <w:lang w:val="sq-AL"/>
        </w:rPr>
        <w:drawing>
          <wp:inline distT="0" distB="0" distL="0" distR="0">
            <wp:extent cx="5940939" cy="6702303"/>
            <wp:effectExtent l="19050" t="0" r="21711" b="3297"/>
            <wp:docPr id="7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28DE" w:rsidRPr="005B4B81" w:rsidRDefault="00F40506" w:rsidP="00326042">
      <w:pPr>
        <w:tabs>
          <w:tab w:val="left" w:pos="720"/>
          <w:tab w:val="left" w:pos="1170"/>
        </w:tabs>
        <w:spacing w:after="0"/>
        <w:rPr>
          <w:rFonts w:ascii="Calibri Light" w:hAnsi="Calibri Light" w:cs="Tw Cen MT Condensed Extra Bold"/>
          <w:sz w:val="36"/>
          <w:szCs w:val="36"/>
          <w:lang w:val="sq-AL"/>
        </w:rPr>
      </w:pPr>
      <w:r w:rsidRPr="005B4B81">
        <w:rPr>
          <w:rFonts w:ascii="Calibri Light" w:hAnsi="Calibri Light" w:cs="Tw Cen MT Condensed Extra Bold"/>
          <w:sz w:val="36"/>
          <w:szCs w:val="36"/>
          <w:lang w:val="sq-AL"/>
        </w:rPr>
        <w:lastRenderedPageBreak/>
        <w:t xml:space="preserve">Të dhënat e </w:t>
      </w:r>
      <w:proofErr w:type="spellStart"/>
      <w:r w:rsidRPr="005B4B81">
        <w:rPr>
          <w:rFonts w:ascii="Calibri Light" w:hAnsi="Calibri Light" w:cs="Tw Cen MT Condensed Extra Bold"/>
          <w:sz w:val="36"/>
          <w:szCs w:val="36"/>
          <w:lang w:val="sq-AL"/>
        </w:rPr>
        <w:t>performancës</w:t>
      </w:r>
      <w:proofErr w:type="spellEnd"/>
      <w:r w:rsidRPr="005B4B81">
        <w:rPr>
          <w:rFonts w:ascii="Calibri Light" w:hAnsi="Calibri Light" w:cs="Tw Cen MT Condensed Extra Bold"/>
          <w:sz w:val="36"/>
          <w:szCs w:val="36"/>
          <w:lang w:val="sq-AL"/>
        </w:rPr>
        <w:t xml:space="preserve"> individuale të komunave treguesve</w:t>
      </w:r>
    </w:p>
    <w:p w:rsidR="00326042" w:rsidRPr="005B4B81" w:rsidRDefault="00326042" w:rsidP="00326042">
      <w:pPr>
        <w:tabs>
          <w:tab w:val="left" w:pos="720"/>
          <w:tab w:val="left" w:pos="1170"/>
        </w:tabs>
        <w:spacing w:after="0"/>
        <w:rPr>
          <w:rFonts w:ascii="Calibri Light" w:hAnsi="Calibri Light" w:cs="Tw Cen MT Condensed Extra Bold"/>
          <w:sz w:val="36"/>
          <w:szCs w:val="36"/>
          <w:lang w:val="sq-AL"/>
        </w:rPr>
      </w:pPr>
    </w:p>
    <w:tbl>
      <w:tblPr>
        <w:tblW w:w="10275" w:type="dxa"/>
        <w:tblLook w:val="04A0"/>
      </w:tblPr>
      <w:tblGrid>
        <w:gridCol w:w="652"/>
        <w:gridCol w:w="665"/>
        <w:gridCol w:w="665"/>
        <w:gridCol w:w="665"/>
        <w:gridCol w:w="665"/>
        <w:gridCol w:w="664"/>
        <w:gridCol w:w="664"/>
        <w:gridCol w:w="708"/>
        <w:gridCol w:w="664"/>
        <w:gridCol w:w="664"/>
        <w:gridCol w:w="662"/>
        <w:gridCol w:w="719"/>
        <w:gridCol w:w="664"/>
        <w:gridCol w:w="720"/>
        <w:gridCol w:w="834"/>
      </w:tblGrid>
      <w:tr w:rsidR="000128DE" w:rsidRPr="005B4B81" w:rsidTr="00497D74">
        <w:trPr>
          <w:trHeight w:val="904"/>
        </w:trPr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b/>
                <w:bCs/>
                <w:sz w:val="18"/>
                <w:szCs w:val="18"/>
                <w:lang w:val="sq-AL"/>
              </w:rPr>
              <w:t>Treguesi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Podujevë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Prishtinë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Prizren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Rahovec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proofErr w:type="spellStart"/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Ranillug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Shtime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Shtërpcë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Skenderaj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Suharekë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Viti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Vushtrri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proofErr w:type="spellStart"/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Zveçan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Leposaviq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extDirection w:val="btLr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8"/>
                <w:szCs w:val="18"/>
                <w:lang w:val="sq-AL"/>
              </w:rPr>
              <w:t>Mesatarja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99.66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84.44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69.17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57.04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99.73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93.52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97.91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89.61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1.1.2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98.65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22.07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70.17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30.80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99.61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93.99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90.91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92.94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2.1.2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10.71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33.33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6.90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12.77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9.09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30.77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40.00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48.89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2.1.3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97.06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2.1.4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73.64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2.2.1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41.38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70.19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67.57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74.32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2.2.2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72.22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81.71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12.77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93.51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64.12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2.2.3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80.00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2.2.4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74.12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2.2.5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89.47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86.83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2.2.6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99.00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95.00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85.00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95.00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95.00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65.00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95.00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80.00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77.91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2.3.1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84.89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2.3.2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75.00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25.00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25.00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75.00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66.75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2.3.3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27.86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2.3.4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80.00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66.53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2.4.1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27.86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2.4.2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35.29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0.36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0.17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0.59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0.42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0.93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0.64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0.37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0.39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3.1.2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42.64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66.70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44.46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33.05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50.99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39.75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24.07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33.98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41.71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46.34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40.22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3.1.3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0.56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1.35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20.15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1.61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2.77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35.19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0.72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0.74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0.98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7.84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3.1.4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2.94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18.57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56.00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5.45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33.33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23.59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3.1.5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15.38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15.38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15.38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33.33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33.33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21.43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65.00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16.90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3.2.1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16.01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80.77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30.23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3.2.2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0.11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10.18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0.55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4.68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5.04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4.35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0.15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3.11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3.2.3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34.78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53.59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27.27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16.28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41.67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17.14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20.87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3.2.4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64.08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3.3.1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38.00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38.00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73.00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50.00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74.40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3.3.2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27.66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88.89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60.00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64.68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3.3.3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50.14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93.42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79.01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77.27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89.19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92.31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97.62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69.24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4.2.1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58.82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77.27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89.19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93.02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79.67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4.2.2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39.64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50.59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15.24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3.78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61.86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57.49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70.83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98.99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36.68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43.16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93.33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88.89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66.67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66.67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95.83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86.84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62.39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5.1.2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98.49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99.26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98.37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90.43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11.68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5.94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45.22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9.57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65.14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11.85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79.12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46.48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lastRenderedPageBreak/>
              <w:t>6.2.1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62.50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79.91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47.78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86.67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76.47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96.00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91.51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93.55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81.33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77.55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6.2.2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53.47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26.22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79.18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6.2.3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65.79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24.91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40.21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45.45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52.54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20.69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62.78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3.28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5.96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9.22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0.36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0.31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1.26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11.89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0.86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4.11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7.1.2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0.23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0.61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0.29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0.20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11.89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1.93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7.1.3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15.24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81.70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82.50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42.25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80.90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67.09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89.05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40.09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83.52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66.53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66.56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80.96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60.32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70.35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38.68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77.40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66.74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8.1.2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81.37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25.49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37.41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80.96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56.35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86.13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48.41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92.27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63.87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8.2.1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22.83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24.07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47.89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2.73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22.42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16.13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8.24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18.24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8.2.2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19.36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61.79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62.11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19.69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53.66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1.64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7.05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24.33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30.57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8.2.3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29.74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36.24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79.12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7.57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39.13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38.32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32.26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8.30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46.56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85.71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73.91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86.49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42.86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61.72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9.1.2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87.18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69.77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86.49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47.22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91.30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81.25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95.92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92.68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55.22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72.41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9.1.3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26.15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86.42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23.08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23.53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33.33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8.16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32.26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80.43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49.82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54.00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12.00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27.00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12.00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11.68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10.1.2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2.15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45.04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0.99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3.15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1.39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9.27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3.08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12.50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4.92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7.86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10.1.3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23.08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51.66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41.73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77.27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9.52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68.00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54.55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70.21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67.44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42.54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10.1.4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75.00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88.89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18.18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25.00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58.33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41.02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58.82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66.67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71.43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75.00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25.00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88.89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68.42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11.1.2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44.87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62.79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97.30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83.33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75.00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78.26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16.33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34.15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64.10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29.85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61.12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11.1.3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64.83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81.60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81.39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98.26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89.24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79.08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93.42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43.76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52.10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76.35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67.90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11.2.1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27.42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95.89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98.63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98.63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84.93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81.64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28.30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54.79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81.86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11.2.2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54.54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42.28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44.33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60.72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20.08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25.71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41.27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32.22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50.02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11.2.3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69.99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88.95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96.97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71.47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64.79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64.67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44.58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 xml:space="preserve">nuk ka te dh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61.92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11.3.1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98.96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99.24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88.75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12.1.1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92.00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85.71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75.00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74.13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12.1.2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74.36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72.09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94.59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94.44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31.25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73.91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87.50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75.61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71.79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53.73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11.43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70.10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12.1.3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77.85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81.60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83.09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74.16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32.70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17.92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25.77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80.68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77.12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57.06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69.39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12.2.1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91.67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20.20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12.2.2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6.98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1.35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2.04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73.81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1.49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27.97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13.1.1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83.33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62.50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83.33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71.55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13.1.2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66.67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53.66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98.65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93.75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65.22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87.50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55.10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80.49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37.31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80.25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13.1.3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49.14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98.89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96.38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85.37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99.37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43.29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27.33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63.84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47.83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65.55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13.2.1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92.95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97.53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13.2.2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84.99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94.66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79.00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81.11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86.04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69.11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91.70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69.55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78.69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69.08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13.3.1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125.84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307.31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281.96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151.88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314.37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103.84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132.73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133.52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321.58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198.95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14.1.1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8.57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75.00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66.20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14.1.2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68.00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32.09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5.84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15.38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28.00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17.65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58.62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54.10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33.55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14.1.3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100.00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87.10</w:t>
            </w:r>
          </w:p>
        </w:tc>
      </w:tr>
      <w:tr w:rsidR="000128DE" w:rsidRPr="005B4B81" w:rsidTr="00497D74">
        <w:trPr>
          <w:trHeight w:val="301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14.1.4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75.00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42.86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66.67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highlight w:val="yellow"/>
                <w:lang w:val="sq-AL"/>
              </w:rPr>
              <w:t>0.00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36.67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50.00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nuk ka te dh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NKF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28DE" w:rsidRPr="005B4B81" w:rsidRDefault="000128DE" w:rsidP="00497D74">
            <w:pPr>
              <w:spacing w:after="0" w:line="240" w:lineRule="auto"/>
              <w:jc w:val="right"/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</w:pPr>
            <w:r w:rsidRPr="005B4B81">
              <w:rPr>
                <w:rFonts w:ascii="Calibri Light" w:eastAsia="Times New Roman" w:hAnsi="Calibri Light" w:cs="Tw Cen MT Condensed Extra Bold"/>
                <w:sz w:val="16"/>
                <w:szCs w:val="16"/>
                <w:lang w:val="sq-AL"/>
              </w:rPr>
              <w:t>46.92</w:t>
            </w:r>
          </w:p>
        </w:tc>
      </w:tr>
    </w:tbl>
    <w:p w:rsidR="000128DE" w:rsidRPr="005B4B81" w:rsidRDefault="000128DE" w:rsidP="000128DE">
      <w:pPr>
        <w:tabs>
          <w:tab w:val="left" w:pos="720"/>
          <w:tab w:val="left" w:pos="1170"/>
        </w:tabs>
        <w:spacing w:after="0" w:line="480" w:lineRule="auto"/>
        <w:ind w:left="720"/>
        <w:contextualSpacing/>
        <w:rPr>
          <w:rFonts w:ascii="Calibri Light" w:hAnsi="Calibri Light" w:cs="Tw Cen MT Condensed Extra Bold"/>
          <w:sz w:val="40"/>
          <w:szCs w:val="40"/>
          <w:lang w:val="sq-AL"/>
        </w:rPr>
      </w:pPr>
    </w:p>
    <w:p w:rsidR="001444EA" w:rsidRDefault="001444EA" w:rsidP="00326042">
      <w:pPr>
        <w:tabs>
          <w:tab w:val="left" w:pos="720"/>
          <w:tab w:val="left" w:pos="1170"/>
        </w:tabs>
        <w:spacing w:after="0" w:line="480" w:lineRule="auto"/>
        <w:ind w:left="720"/>
        <w:contextualSpacing/>
        <w:rPr>
          <w:rFonts w:ascii="Calibri Light" w:hAnsi="Calibri Light"/>
          <w:sz w:val="40"/>
          <w:szCs w:val="40"/>
          <w:lang w:val="sq-AL"/>
        </w:rPr>
      </w:pPr>
    </w:p>
    <w:p w:rsidR="000128DE" w:rsidRPr="005B4B81" w:rsidRDefault="000128DE" w:rsidP="00326042">
      <w:pPr>
        <w:tabs>
          <w:tab w:val="left" w:pos="720"/>
          <w:tab w:val="left" w:pos="1170"/>
        </w:tabs>
        <w:spacing w:after="0" w:line="480" w:lineRule="auto"/>
        <w:ind w:left="720"/>
        <w:contextualSpacing/>
        <w:rPr>
          <w:rFonts w:ascii="Calibri Light" w:hAnsi="Calibri Light" w:cs="Tw Cen MT Condensed Extra Bold"/>
          <w:sz w:val="40"/>
          <w:szCs w:val="40"/>
          <w:lang w:val="sq-AL"/>
        </w:rPr>
      </w:pPr>
      <w:r w:rsidRPr="005B4B81">
        <w:rPr>
          <w:rFonts w:ascii="Calibri Light" w:hAnsi="Calibri Light"/>
          <w:sz w:val="40"/>
          <w:szCs w:val="40"/>
          <w:lang w:val="sq-AL"/>
        </w:rPr>
        <w:t xml:space="preserve">Suharekë  </w:t>
      </w: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sz w:val="26"/>
          <w:szCs w:val="26"/>
          <w:lang w:val="sq-AL"/>
        </w:rPr>
      </w:pPr>
      <w:r w:rsidRPr="005B4B81">
        <w:rPr>
          <w:rFonts w:ascii="Calibri Light" w:hAnsi="Calibri Light"/>
          <w:sz w:val="26"/>
          <w:szCs w:val="26"/>
          <w:lang w:val="sq-AL"/>
        </w:rPr>
        <w:t>Komuna e Suharekës shtrihet në pjesën jug - qendrore të territorit të Republikës së Kosovës. Madhësia gjeo</w:t>
      </w:r>
      <w:r w:rsidRPr="005B4B81">
        <w:rPr>
          <w:rFonts w:ascii="Calibri Light" w:hAnsi="Calibri Light"/>
          <w:sz w:val="26"/>
          <w:szCs w:val="26"/>
          <w:lang w:val="sq-AL"/>
        </w:rPr>
        <w:softHyphen/>
        <w:t>grafike e territorit të komunës është 361 km</w:t>
      </w:r>
      <w:r w:rsidRPr="005B4B81">
        <w:rPr>
          <w:rFonts w:ascii="Calibri Light" w:hAnsi="Calibri Light"/>
          <w:sz w:val="26"/>
          <w:szCs w:val="26"/>
          <w:vertAlign w:val="superscript"/>
          <w:lang w:val="sq-AL"/>
        </w:rPr>
        <w:t>2</w:t>
      </w:r>
      <w:r w:rsidRPr="005B4B81">
        <w:rPr>
          <w:rFonts w:ascii="Calibri Light" w:hAnsi="Calibri Light"/>
          <w:sz w:val="26"/>
          <w:szCs w:val="26"/>
          <w:lang w:val="sq-AL"/>
        </w:rPr>
        <w:t>, me 1 zonë administrative urbane  dhe 42 vend</w:t>
      </w:r>
      <w:r w:rsidRPr="005B4B81">
        <w:rPr>
          <w:rFonts w:ascii="Calibri Light" w:hAnsi="Calibri Light"/>
          <w:sz w:val="26"/>
          <w:szCs w:val="26"/>
          <w:lang w:val="sq-AL"/>
        </w:rPr>
        <w:softHyphen/>
        <w:t xml:space="preserve">banime rurale. Hyn në grupin e komunave me kushte të mira për zhvillimin e bujqësisë, </w:t>
      </w:r>
      <w:r w:rsidR="001444EA" w:rsidRPr="005B4B81">
        <w:rPr>
          <w:rFonts w:ascii="Calibri Light" w:hAnsi="Calibri Light"/>
          <w:sz w:val="26"/>
          <w:szCs w:val="26"/>
          <w:lang w:val="sq-AL"/>
        </w:rPr>
        <w:t>pemëtarisë</w:t>
      </w:r>
      <w:r w:rsidRPr="005B4B81">
        <w:rPr>
          <w:rFonts w:ascii="Calibri Light" w:hAnsi="Calibri Light"/>
          <w:sz w:val="26"/>
          <w:szCs w:val="26"/>
          <w:lang w:val="sq-AL"/>
        </w:rPr>
        <w:t xml:space="preserve"> dhe vreshta</w:t>
      </w:r>
      <w:r w:rsidRPr="005B4B81">
        <w:rPr>
          <w:rFonts w:ascii="Calibri Light" w:hAnsi="Calibri Light"/>
          <w:sz w:val="26"/>
          <w:szCs w:val="26"/>
          <w:lang w:val="sq-AL"/>
        </w:rPr>
        <w:softHyphen/>
        <w:t xml:space="preserve">risë. Është e njohur me prodhimin e rrushit dhe të verës, me përpunimin e lëkurë – këpucëve dhe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agro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– biznesit.  </w:t>
      </w: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sz w:val="26"/>
          <w:szCs w:val="26"/>
          <w:lang w:val="sq-AL"/>
        </w:rPr>
      </w:pP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b/>
          <w:bCs/>
          <w:sz w:val="26"/>
          <w:szCs w:val="26"/>
          <w:lang w:val="sq-AL"/>
        </w:rPr>
      </w:pPr>
      <w:r w:rsidRPr="005B4B81">
        <w:rPr>
          <w:rFonts w:ascii="Calibri Light" w:hAnsi="Calibri Light"/>
          <w:b/>
          <w:bCs/>
          <w:sz w:val="26"/>
          <w:szCs w:val="26"/>
          <w:lang w:val="sq-AL"/>
        </w:rPr>
        <w:t>Informatat e përgjithshme për komunën</w:t>
      </w: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b/>
          <w:bCs/>
          <w:sz w:val="26"/>
          <w:szCs w:val="26"/>
          <w:lang w:val="sq-AL"/>
        </w:rPr>
      </w:pPr>
    </w:p>
    <w:tbl>
      <w:tblPr>
        <w:tblW w:w="937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02"/>
        <w:gridCol w:w="1894"/>
        <w:gridCol w:w="2606"/>
        <w:gridCol w:w="2969"/>
      </w:tblGrid>
      <w:tr w:rsidR="000128DE" w:rsidRPr="005B4B81" w:rsidTr="00497D74">
        <w:trPr>
          <w:trHeight w:val="307"/>
        </w:trPr>
        <w:tc>
          <w:tcPr>
            <w:tcW w:w="1902" w:type="dxa"/>
            <w:tcBorders>
              <w:top w:val="single" w:sz="8" w:space="0" w:color="BF8F00"/>
              <w:left w:val="nil"/>
              <w:bottom w:val="single" w:sz="8" w:space="0" w:color="BF8F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hAnsi="Calibri Light"/>
                <w:sz w:val="26"/>
                <w:szCs w:val="26"/>
                <w:lang w:val="sq-AL"/>
              </w:rPr>
            </w:pPr>
            <w:r w:rsidRPr="005B4B81">
              <w:rPr>
                <w:rFonts w:ascii="Calibri Light" w:hAnsi="Calibri Light"/>
                <w:sz w:val="26"/>
                <w:szCs w:val="26"/>
                <w:lang w:val="sq-AL"/>
              </w:rPr>
              <w:t>Komuna</w:t>
            </w:r>
          </w:p>
        </w:tc>
        <w:tc>
          <w:tcPr>
            <w:tcW w:w="1894" w:type="dxa"/>
            <w:tcBorders>
              <w:top w:val="single" w:sz="8" w:space="0" w:color="BF8F00"/>
              <w:left w:val="nil"/>
              <w:bottom w:val="single" w:sz="8" w:space="0" w:color="BF8F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hAnsi="Calibri Light"/>
                <w:sz w:val="26"/>
                <w:szCs w:val="26"/>
                <w:vertAlign w:val="superscript"/>
                <w:lang w:val="sq-AL"/>
              </w:rPr>
            </w:pPr>
            <w:r w:rsidRPr="005B4B81">
              <w:rPr>
                <w:rFonts w:ascii="Calibri Light" w:hAnsi="Calibri Light"/>
                <w:sz w:val="26"/>
                <w:szCs w:val="26"/>
                <w:lang w:val="sq-AL"/>
              </w:rPr>
              <w:t>Territori në km</w:t>
            </w:r>
            <w:r w:rsidRPr="005B4B81">
              <w:rPr>
                <w:rFonts w:ascii="Calibri Light" w:hAnsi="Calibri Light"/>
                <w:sz w:val="26"/>
                <w:szCs w:val="26"/>
                <w:vertAlign w:val="superscript"/>
                <w:lang w:val="sq-AL"/>
              </w:rPr>
              <w:t>2</w:t>
            </w:r>
          </w:p>
        </w:tc>
        <w:tc>
          <w:tcPr>
            <w:tcW w:w="2606" w:type="dxa"/>
            <w:tcBorders>
              <w:top w:val="single" w:sz="8" w:space="0" w:color="BF8F00"/>
              <w:left w:val="nil"/>
              <w:bottom w:val="single" w:sz="8" w:space="0" w:color="BF8F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hAnsi="Calibri Light"/>
                <w:sz w:val="26"/>
                <w:szCs w:val="26"/>
                <w:lang w:val="sq-AL"/>
              </w:rPr>
            </w:pPr>
            <w:r w:rsidRPr="005B4B81">
              <w:rPr>
                <w:rFonts w:ascii="Calibri Light" w:hAnsi="Calibri Light"/>
                <w:sz w:val="26"/>
                <w:szCs w:val="26"/>
                <w:lang w:val="sq-AL"/>
              </w:rPr>
              <w:t>Numri i banorëve</w:t>
            </w:r>
          </w:p>
        </w:tc>
        <w:tc>
          <w:tcPr>
            <w:tcW w:w="2969" w:type="dxa"/>
            <w:tcBorders>
              <w:top w:val="single" w:sz="8" w:space="0" w:color="BF8F00"/>
              <w:left w:val="nil"/>
              <w:bottom w:val="single" w:sz="8" w:space="0" w:color="BF8F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hAnsi="Calibri Light"/>
                <w:sz w:val="26"/>
                <w:szCs w:val="26"/>
                <w:lang w:val="sq-AL"/>
              </w:rPr>
            </w:pPr>
            <w:proofErr w:type="spellStart"/>
            <w:r w:rsidRPr="005B4B81">
              <w:rPr>
                <w:rFonts w:ascii="Calibri Light" w:hAnsi="Calibri Light"/>
                <w:sz w:val="26"/>
                <w:szCs w:val="26"/>
                <w:lang w:val="sq-AL"/>
              </w:rPr>
              <w:t>Performanca</w:t>
            </w:r>
            <w:proofErr w:type="spellEnd"/>
            <w:r w:rsidRPr="005B4B81">
              <w:rPr>
                <w:rFonts w:ascii="Calibri Light" w:hAnsi="Calibri Light"/>
                <w:sz w:val="26"/>
                <w:szCs w:val="26"/>
                <w:lang w:val="sq-AL"/>
              </w:rPr>
              <w:t xml:space="preserve"> %</w:t>
            </w:r>
          </w:p>
        </w:tc>
      </w:tr>
      <w:tr w:rsidR="000128DE" w:rsidRPr="005B4B81" w:rsidTr="00497D74">
        <w:trPr>
          <w:trHeight w:val="173"/>
        </w:trPr>
        <w:tc>
          <w:tcPr>
            <w:tcW w:w="1902" w:type="dxa"/>
            <w:tcBorders>
              <w:top w:val="nil"/>
              <w:left w:val="nil"/>
              <w:bottom w:val="single" w:sz="8" w:space="0" w:color="BF8F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6"/>
                <w:szCs w:val="26"/>
                <w:lang w:val="sq-AL"/>
              </w:rPr>
            </w:pPr>
            <w:r w:rsidRPr="005B4B81">
              <w:rPr>
                <w:rFonts w:ascii="Calibri Light" w:hAnsi="Calibri Light"/>
                <w:b/>
                <w:bCs/>
                <w:sz w:val="26"/>
                <w:szCs w:val="26"/>
                <w:lang w:val="sq-AL"/>
              </w:rPr>
              <w:t>Suharekë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BF8F00"/>
              <w:right w:val="nil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hAnsi="Calibri Light"/>
                <w:sz w:val="26"/>
                <w:szCs w:val="26"/>
                <w:lang w:val="sq-AL"/>
              </w:rPr>
            </w:pPr>
            <w:r w:rsidRPr="005B4B81">
              <w:rPr>
                <w:rFonts w:ascii="Calibri Light" w:hAnsi="Calibri Light"/>
                <w:sz w:val="26"/>
                <w:szCs w:val="26"/>
                <w:lang w:val="sq-AL"/>
              </w:rPr>
              <w:t>361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BF8F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hAnsi="Calibri Light"/>
                <w:sz w:val="26"/>
                <w:szCs w:val="26"/>
                <w:lang w:val="sq-AL"/>
              </w:rPr>
            </w:pPr>
            <w:r w:rsidRPr="005B4B81">
              <w:rPr>
                <w:rFonts w:ascii="Calibri Light" w:hAnsi="Calibri Light"/>
                <w:sz w:val="26"/>
                <w:szCs w:val="26"/>
                <w:lang w:val="sq-AL"/>
              </w:rPr>
              <w:t>59722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BF8F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DE" w:rsidRPr="005B4B81" w:rsidRDefault="000128DE" w:rsidP="00497D74">
            <w:pPr>
              <w:spacing w:after="0" w:line="240" w:lineRule="auto"/>
              <w:jc w:val="center"/>
              <w:rPr>
                <w:rFonts w:ascii="Calibri Light" w:hAnsi="Calibri Light"/>
                <w:sz w:val="26"/>
                <w:szCs w:val="26"/>
                <w:lang w:val="sq-AL"/>
              </w:rPr>
            </w:pPr>
            <w:r w:rsidRPr="005B4B81">
              <w:rPr>
                <w:rFonts w:ascii="Calibri Light" w:hAnsi="Calibri Light"/>
                <w:sz w:val="26"/>
                <w:szCs w:val="26"/>
                <w:lang w:val="sq-AL"/>
              </w:rPr>
              <w:t>53.75</w:t>
            </w:r>
          </w:p>
        </w:tc>
      </w:tr>
    </w:tbl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sz w:val="26"/>
          <w:szCs w:val="26"/>
          <w:lang w:val="sq-AL"/>
        </w:rPr>
      </w:pP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sz w:val="26"/>
          <w:szCs w:val="26"/>
          <w:lang w:val="sq-AL"/>
        </w:rPr>
      </w:pPr>
      <w:r w:rsidRPr="005B4B81">
        <w:rPr>
          <w:rFonts w:ascii="Calibri Light" w:hAnsi="Calibri Light"/>
          <w:sz w:val="26"/>
          <w:szCs w:val="26"/>
          <w:lang w:val="sq-AL"/>
        </w:rPr>
        <w:t xml:space="preserve">Në bazë të analizave individuale të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të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dhënave, është konstatuar se komuna e Suharekës ka arritur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</w:t>
      </w:r>
      <w:r w:rsidRPr="005B4B81">
        <w:rPr>
          <w:rFonts w:ascii="Calibri Light" w:hAnsi="Calibri Light"/>
          <w:sz w:val="26"/>
          <w:szCs w:val="26"/>
          <w:lang w:val="sq-AL"/>
        </w:rPr>
        <w:softHyphen/>
        <w:t>r</w:t>
      </w:r>
      <w:r w:rsidRPr="005B4B81">
        <w:rPr>
          <w:rFonts w:ascii="Calibri Light" w:hAnsi="Calibri Light"/>
          <w:sz w:val="26"/>
          <w:szCs w:val="26"/>
          <w:lang w:val="sq-AL"/>
        </w:rPr>
        <w:softHyphen/>
        <w:t>mancë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të shkallës së mesme (53.75%). </w:t>
      </w: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lang w:val="sq-AL"/>
        </w:rPr>
      </w:pP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lang w:val="sq-AL"/>
        </w:rPr>
      </w:pPr>
      <w:r w:rsidRPr="005B4B81">
        <w:rPr>
          <w:rFonts w:ascii="Calibri Light" w:hAnsi="Calibri Light"/>
          <w:noProof/>
          <w:lang w:val="sq-AL"/>
        </w:rPr>
        <w:drawing>
          <wp:inline distT="0" distB="0" distL="0" distR="0">
            <wp:extent cx="5486400" cy="2743200"/>
            <wp:effectExtent l="0" t="0" r="0" b="0"/>
            <wp:docPr id="2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sz w:val="26"/>
          <w:szCs w:val="26"/>
          <w:lang w:val="sq-AL"/>
        </w:rPr>
      </w:pPr>
    </w:p>
    <w:p w:rsidR="00326042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b/>
          <w:bCs/>
          <w:sz w:val="26"/>
          <w:szCs w:val="26"/>
          <w:lang w:val="sq-AL"/>
        </w:rPr>
      </w:pPr>
      <w:r w:rsidRPr="005B4B81">
        <w:rPr>
          <w:rFonts w:ascii="Calibri Light" w:hAnsi="Calibri Light"/>
          <w:b/>
          <w:bCs/>
          <w:sz w:val="26"/>
          <w:szCs w:val="26"/>
          <w:lang w:val="sq-AL"/>
        </w:rPr>
        <w:t>Arritjet më të larta</w:t>
      </w: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b/>
          <w:bCs/>
          <w:sz w:val="26"/>
          <w:szCs w:val="26"/>
          <w:lang w:val="sq-AL"/>
        </w:rPr>
      </w:pPr>
      <w:r w:rsidRPr="005B4B81">
        <w:rPr>
          <w:rFonts w:ascii="Calibri Light" w:hAnsi="Calibri Light"/>
          <w:b/>
          <w:bCs/>
          <w:sz w:val="26"/>
          <w:szCs w:val="26"/>
          <w:lang w:val="sq-AL"/>
        </w:rPr>
        <w:t xml:space="preserve"> </w:t>
      </w: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sz w:val="26"/>
          <w:szCs w:val="26"/>
          <w:lang w:val="sq-AL"/>
        </w:rPr>
      </w:pPr>
      <w:r w:rsidRPr="005B4B81">
        <w:rPr>
          <w:rFonts w:ascii="Calibri Light" w:hAnsi="Calibri Light"/>
          <w:sz w:val="26"/>
          <w:szCs w:val="26"/>
          <w:lang w:val="sq-AL"/>
        </w:rPr>
        <w:t xml:space="preserve">Komuna qëndron shumë lartë me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performancë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në fushat si vijon: fusha e  shërbimeve publike admini</w:t>
      </w:r>
      <w:r w:rsidRPr="005B4B81">
        <w:rPr>
          <w:rFonts w:ascii="Calibri Light" w:hAnsi="Calibri Light"/>
          <w:sz w:val="26"/>
          <w:szCs w:val="26"/>
          <w:lang w:val="sq-AL"/>
        </w:rPr>
        <w:softHyphen/>
        <w:t xml:space="preserve">strative (96.76%), në kulturë, rini dhe sport (87.12%), në menaxhimin e mbeturinave (84.11%) dhe uji i pijshëm( 66.90%), Ndërsa në nivel të mesëm të ofrimit të shërbimeve komuna e Suharekës ka shërbimet si vijon: mbrojtja  mjedisit lokal ( 64.66%), kanalizimi ( 57.00%), emergjencat komunale ( 50.00%), transparenca komunale( 44.17%), fusha rrugët dhe trotuaret ( 38.93%), planifikim urban ( 34.64%), transporti publik( 33.62%). Ne nivel shume te ulet komuna e Suharekës ka  dy shërbime, </w:t>
      </w:r>
      <w:r w:rsidR="0080445F" w:rsidRPr="005B4B81">
        <w:rPr>
          <w:rFonts w:ascii="Calibri Light" w:hAnsi="Calibri Light"/>
          <w:sz w:val="26"/>
          <w:szCs w:val="26"/>
          <w:lang w:val="sq-AL"/>
        </w:rPr>
        <w:t>atë</w:t>
      </w:r>
      <w:r w:rsidRPr="005B4B81">
        <w:rPr>
          <w:rFonts w:ascii="Calibri Light" w:hAnsi="Calibri Light"/>
          <w:sz w:val="26"/>
          <w:szCs w:val="26"/>
          <w:lang w:val="sq-AL"/>
        </w:rPr>
        <w:t xml:space="preserve">  të parkingjeve publike dhe mirëqenies sociale dhe familjare.</w:t>
      </w: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sz w:val="26"/>
          <w:szCs w:val="26"/>
          <w:lang w:val="sq-AL"/>
        </w:rPr>
      </w:pPr>
    </w:p>
    <w:p w:rsidR="001444EA" w:rsidRDefault="001444EA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b/>
          <w:bCs/>
          <w:sz w:val="26"/>
          <w:szCs w:val="26"/>
          <w:lang w:val="sq-AL"/>
        </w:rPr>
      </w:pPr>
    </w:p>
    <w:p w:rsidR="001444EA" w:rsidRDefault="001444EA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b/>
          <w:bCs/>
          <w:sz w:val="26"/>
          <w:szCs w:val="26"/>
          <w:lang w:val="sq-AL"/>
        </w:rPr>
      </w:pP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b/>
          <w:bCs/>
          <w:sz w:val="26"/>
          <w:szCs w:val="26"/>
          <w:lang w:val="sq-AL"/>
        </w:rPr>
      </w:pPr>
      <w:r w:rsidRPr="005B4B81">
        <w:rPr>
          <w:rFonts w:ascii="Calibri Light" w:hAnsi="Calibri Light"/>
          <w:b/>
          <w:bCs/>
          <w:sz w:val="26"/>
          <w:szCs w:val="26"/>
          <w:lang w:val="sq-AL"/>
        </w:rPr>
        <w:t xml:space="preserve">Arritjet më të </w:t>
      </w:r>
      <w:proofErr w:type="spellStart"/>
      <w:r w:rsidRPr="005B4B81">
        <w:rPr>
          <w:rFonts w:ascii="Calibri Light" w:hAnsi="Calibri Light"/>
          <w:b/>
          <w:bCs/>
          <w:sz w:val="26"/>
          <w:szCs w:val="26"/>
          <w:lang w:val="sq-AL"/>
        </w:rPr>
        <w:t>ulta</w:t>
      </w:r>
      <w:proofErr w:type="spellEnd"/>
      <w:r w:rsidRPr="005B4B81">
        <w:rPr>
          <w:rFonts w:ascii="Calibri Light" w:hAnsi="Calibri Light"/>
          <w:b/>
          <w:bCs/>
          <w:sz w:val="26"/>
          <w:szCs w:val="26"/>
          <w:lang w:val="sq-AL"/>
        </w:rPr>
        <w:t xml:space="preserve"> sipas treguesve </w:t>
      </w: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sz w:val="26"/>
          <w:szCs w:val="26"/>
          <w:lang w:val="sq-AL"/>
        </w:rPr>
      </w:pPr>
      <w:r w:rsidRPr="005B4B81">
        <w:rPr>
          <w:rFonts w:ascii="Calibri Light" w:hAnsi="Calibri Light"/>
          <w:sz w:val="26"/>
          <w:szCs w:val="26"/>
          <w:lang w:val="sq-AL"/>
        </w:rPr>
        <w:t xml:space="preserve">Komuna ka shënuar </w:t>
      </w:r>
      <w:proofErr w:type="spellStart"/>
      <w:r w:rsidRPr="005B4B81">
        <w:rPr>
          <w:rFonts w:ascii="Calibri Light" w:hAnsi="Calibri Light"/>
          <w:sz w:val="26"/>
          <w:szCs w:val="26"/>
          <w:lang w:val="sq-AL"/>
        </w:rPr>
        <w:t>performancë</w:t>
      </w:r>
      <w:proofErr w:type="spellEnd"/>
      <w:r w:rsidRPr="005B4B81">
        <w:rPr>
          <w:rFonts w:ascii="Calibri Light" w:hAnsi="Calibri Light"/>
          <w:sz w:val="26"/>
          <w:szCs w:val="26"/>
          <w:lang w:val="sq-AL"/>
        </w:rPr>
        <w:t xml:space="preserve"> të ulët ne treguesit në vijim: % e popullatës e cila përfiton nga skema sociale( 0.10%), % e të punësuarve me aftësi të kufizuar në institucionet komunale, sipas përkatësisë gjinore( 0.37%), % e të punësuarve nga komunitetet jo-shumicë sipas përkatësisë gjinore( 0.74%).</w:t>
      </w: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/>
          <w:sz w:val="26"/>
          <w:szCs w:val="26"/>
          <w:lang w:val="sq-AL"/>
        </w:rPr>
      </w:pPr>
      <w:r w:rsidRPr="005B4B81">
        <w:rPr>
          <w:rFonts w:ascii="Calibri Light" w:hAnsi="Calibri Light"/>
          <w:sz w:val="26"/>
          <w:szCs w:val="26"/>
          <w:lang w:val="sq-AL"/>
        </w:rPr>
        <w:t>Hapësirat e gjelbra dhe të shesheve janë 11.89 m</w:t>
      </w:r>
      <w:r w:rsidRPr="005B4B81">
        <w:rPr>
          <w:rFonts w:ascii="Calibri Light" w:hAnsi="Calibri Light"/>
          <w:sz w:val="26"/>
          <w:szCs w:val="26"/>
          <w:vertAlign w:val="superscript"/>
          <w:lang w:val="sq-AL"/>
        </w:rPr>
        <w:t>2</w:t>
      </w:r>
      <w:r w:rsidRPr="005B4B81">
        <w:rPr>
          <w:rFonts w:ascii="Calibri Light" w:hAnsi="Calibri Light"/>
          <w:sz w:val="26"/>
          <w:szCs w:val="26"/>
          <w:lang w:val="sq-AL"/>
        </w:rPr>
        <w:t>/kokë banori, ndërkaq komuna ka deponuar 133.52 kg./ kokë banori mbeturina.</w:t>
      </w: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 w:cs="Tw Cen MT Condensed Extra Bold"/>
          <w:sz w:val="26"/>
          <w:szCs w:val="26"/>
          <w:lang w:val="sq-AL"/>
        </w:rPr>
      </w:pP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 w:cs="Tw Cen MT Condensed Extra Bold"/>
          <w:b/>
          <w:bCs/>
          <w:sz w:val="26"/>
          <w:szCs w:val="26"/>
          <w:lang w:val="sq-AL"/>
        </w:rPr>
      </w:pPr>
      <w:r w:rsidRPr="005B4B81">
        <w:rPr>
          <w:rFonts w:ascii="Calibri Light" w:hAnsi="Calibri Light" w:cs="Tw Cen MT Condensed Extra Bold"/>
          <w:b/>
          <w:bCs/>
          <w:sz w:val="26"/>
          <w:szCs w:val="26"/>
          <w:lang w:val="sq-AL"/>
        </w:rPr>
        <w:t xml:space="preserve">Rekomandim </w:t>
      </w:r>
    </w:p>
    <w:p w:rsidR="004E39D7" w:rsidRPr="005B4B81" w:rsidRDefault="004E39D7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 w:cs="Tw Cen MT Condensed Extra Bold"/>
          <w:b/>
          <w:bCs/>
          <w:sz w:val="26"/>
          <w:szCs w:val="26"/>
          <w:lang w:val="sq-AL"/>
        </w:rPr>
      </w:pP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 w:cs="Tw Cen MT Condensed Extra Bold"/>
          <w:sz w:val="26"/>
          <w:szCs w:val="26"/>
          <w:lang w:val="sq-AL"/>
        </w:rPr>
      </w:pPr>
      <w:r w:rsidRPr="005B4B81">
        <w:rPr>
          <w:rFonts w:ascii="Calibri Light" w:hAnsi="Calibri Light" w:cs="Tw Cen MT Condensed Extra Bold"/>
          <w:sz w:val="26"/>
          <w:szCs w:val="26"/>
          <w:lang w:val="sq-AL"/>
        </w:rPr>
        <w:t>Në bazë të analizave të përgjithshme dhe specifike dhe gjetjeve nga ky hulumtim, komuna e Suharekës duhet të punojë me përkushtim më të madh në këto aspekte:</w:t>
      </w:r>
    </w:p>
    <w:p w:rsidR="000128DE" w:rsidRPr="005B4B81" w:rsidRDefault="000128DE" w:rsidP="000128DE">
      <w:pPr>
        <w:tabs>
          <w:tab w:val="left" w:pos="720"/>
        </w:tabs>
        <w:spacing w:after="0" w:line="240" w:lineRule="auto"/>
        <w:jc w:val="both"/>
        <w:rPr>
          <w:rFonts w:ascii="Calibri Light" w:hAnsi="Calibri Light" w:cs="Tw Cen MT Condensed Extra Bold"/>
          <w:sz w:val="26"/>
          <w:szCs w:val="26"/>
          <w:lang w:val="sq-AL"/>
        </w:rPr>
      </w:pPr>
    </w:p>
    <w:p w:rsidR="000128DE" w:rsidRPr="005B4B81" w:rsidRDefault="000128DE" w:rsidP="004E39D7">
      <w:pPr>
        <w:numPr>
          <w:ilvl w:val="0"/>
          <w:numId w:val="2"/>
        </w:numPr>
        <w:spacing w:after="0"/>
        <w:jc w:val="both"/>
        <w:rPr>
          <w:rFonts w:ascii="Calibri Light" w:hAnsi="Calibri Light"/>
          <w:sz w:val="26"/>
          <w:szCs w:val="26"/>
          <w:lang w:val="sq-AL"/>
        </w:rPr>
      </w:pPr>
      <w:r w:rsidRPr="005B4B81">
        <w:rPr>
          <w:rFonts w:ascii="Calibri Light" w:hAnsi="Calibri Light"/>
          <w:sz w:val="26"/>
          <w:szCs w:val="26"/>
          <w:lang w:val="sq-AL"/>
        </w:rPr>
        <w:t>Inkurajimi i popullatës e cila përfiton nga skema sociale</w:t>
      </w:r>
    </w:p>
    <w:p w:rsidR="000128DE" w:rsidRPr="005B4B81" w:rsidRDefault="0080445F" w:rsidP="004E39D7">
      <w:pPr>
        <w:numPr>
          <w:ilvl w:val="0"/>
          <w:numId w:val="2"/>
        </w:numPr>
        <w:spacing w:after="0"/>
        <w:jc w:val="both"/>
        <w:rPr>
          <w:rFonts w:ascii="Calibri Light" w:hAnsi="Calibri Light"/>
          <w:sz w:val="26"/>
          <w:szCs w:val="26"/>
          <w:lang w:val="sq-AL"/>
        </w:rPr>
      </w:pPr>
      <w:r w:rsidRPr="005B4B81">
        <w:rPr>
          <w:rFonts w:ascii="Calibri Light" w:hAnsi="Calibri Light"/>
          <w:sz w:val="26"/>
          <w:szCs w:val="26"/>
          <w:lang w:val="sq-AL"/>
        </w:rPr>
        <w:t>Përfshirja</w:t>
      </w:r>
      <w:r w:rsidR="000128DE" w:rsidRPr="005B4B81">
        <w:rPr>
          <w:rFonts w:ascii="Calibri Light" w:hAnsi="Calibri Light"/>
          <w:sz w:val="26"/>
          <w:szCs w:val="26"/>
          <w:lang w:val="sq-AL"/>
        </w:rPr>
        <w:t xml:space="preserve"> e  të punësuarve me aftësi të kufizuar në institucionet komunale, sipas përkatësisë gjinore</w:t>
      </w:r>
    </w:p>
    <w:p w:rsidR="000128DE" w:rsidRPr="005B4B81" w:rsidRDefault="0080445F" w:rsidP="004E39D7">
      <w:pPr>
        <w:numPr>
          <w:ilvl w:val="0"/>
          <w:numId w:val="2"/>
        </w:numPr>
        <w:spacing w:after="0"/>
        <w:jc w:val="both"/>
        <w:rPr>
          <w:rFonts w:ascii="Calibri Light" w:hAnsi="Calibri Light"/>
          <w:sz w:val="26"/>
          <w:szCs w:val="26"/>
          <w:lang w:val="sq-AL"/>
        </w:rPr>
      </w:pPr>
      <w:r w:rsidRPr="005B4B81">
        <w:rPr>
          <w:rFonts w:ascii="Calibri Light" w:hAnsi="Calibri Light"/>
          <w:sz w:val="26"/>
          <w:szCs w:val="26"/>
          <w:lang w:val="sq-AL"/>
        </w:rPr>
        <w:t>Mundësia</w:t>
      </w:r>
      <w:r w:rsidR="000128DE" w:rsidRPr="005B4B81">
        <w:rPr>
          <w:rFonts w:ascii="Calibri Light" w:hAnsi="Calibri Light"/>
          <w:sz w:val="26"/>
          <w:szCs w:val="26"/>
          <w:lang w:val="sq-AL"/>
        </w:rPr>
        <w:t xml:space="preserve"> e </w:t>
      </w:r>
      <w:r w:rsidRPr="005B4B81">
        <w:rPr>
          <w:rFonts w:ascii="Calibri Light" w:hAnsi="Calibri Light"/>
          <w:sz w:val="26"/>
          <w:szCs w:val="26"/>
          <w:lang w:val="sq-AL"/>
        </w:rPr>
        <w:t>përfshirjes</w:t>
      </w:r>
      <w:r w:rsidR="000128DE" w:rsidRPr="005B4B81">
        <w:rPr>
          <w:rFonts w:ascii="Calibri Light" w:hAnsi="Calibri Light"/>
          <w:sz w:val="26"/>
          <w:szCs w:val="26"/>
          <w:lang w:val="sq-AL"/>
        </w:rPr>
        <w:t xml:space="preserve"> së punësuarve nga komunitetet jo-shumicë sipas përkatësisë gjinor</w:t>
      </w:r>
    </w:p>
    <w:p w:rsidR="005B4B81" w:rsidRPr="005B4B81" w:rsidRDefault="005B4B81" w:rsidP="005B4B81">
      <w:pPr>
        <w:spacing w:after="0"/>
        <w:jc w:val="both"/>
        <w:rPr>
          <w:rFonts w:ascii="Calibri Light" w:hAnsi="Calibri Light"/>
          <w:sz w:val="26"/>
          <w:szCs w:val="26"/>
          <w:lang w:val="sq-AL"/>
        </w:rPr>
      </w:pPr>
    </w:p>
    <w:p w:rsidR="005B4B81" w:rsidRPr="005B4B81" w:rsidRDefault="005B4B81" w:rsidP="005B4B81">
      <w:pPr>
        <w:jc w:val="both"/>
        <w:rPr>
          <w:rFonts w:ascii="Calibri Light" w:hAnsi="Calibri Light"/>
          <w:b/>
          <w:i/>
          <w:sz w:val="40"/>
          <w:szCs w:val="40"/>
          <w:lang w:val="sq-AL"/>
        </w:rPr>
      </w:pPr>
      <w:r w:rsidRPr="005B4B81">
        <w:rPr>
          <w:rFonts w:ascii="Calibri Light" w:hAnsi="Calibri Light"/>
          <w:b/>
          <w:sz w:val="26"/>
          <w:szCs w:val="26"/>
          <w:lang w:val="sq-AL"/>
        </w:rPr>
        <w:t>Vërejtje;</w:t>
      </w:r>
      <w:r>
        <w:rPr>
          <w:rFonts w:ascii="Calibri Light" w:hAnsi="Calibri Light"/>
          <w:b/>
          <w:sz w:val="26"/>
          <w:szCs w:val="26"/>
          <w:lang w:val="sq-AL"/>
        </w:rPr>
        <w:t xml:space="preserve"> K</w:t>
      </w:r>
      <w:r w:rsidRPr="005B4B81">
        <w:rPr>
          <w:rFonts w:ascii="Calibri Light" w:hAnsi="Calibri Light"/>
          <w:b/>
          <w:sz w:val="26"/>
          <w:szCs w:val="26"/>
          <w:lang w:val="sq-AL"/>
        </w:rPr>
        <w:t xml:space="preserve">ëtë dokument apo </w:t>
      </w:r>
      <w:r w:rsidRPr="005B4B81">
        <w:rPr>
          <w:rFonts w:ascii="Calibri Light" w:hAnsi="Calibri Light"/>
          <w:b/>
          <w:bCs/>
          <w:iCs/>
          <w:sz w:val="26"/>
          <w:szCs w:val="26"/>
          <w:lang w:val="sq-AL"/>
        </w:rPr>
        <w:t xml:space="preserve">Raporti i </w:t>
      </w:r>
      <w:proofErr w:type="spellStart"/>
      <w:r w:rsidRPr="005B4B81">
        <w:rPr>
          <w:rFonts w:ascii="Calibri Light" w:hAnsi="Calibri Light"/>
          <w:b/>
          <w:bCs/>
          <w:iCs/>
          <w:sz w:val="26"/>
          <w:szCs w:val="26"/>
          <w:lang w:val="sq-AL"/>
        </w:rPr>
        <w:t>Performancës</w:t>
      </w:r>
      <w:proofErr w:type="spellEnd"/>
      <w:r w:rsidRPr="005B4B81">
        <w:rPr>
          <w:rFonts w:ascii="Calibri Light" w:hAnsi="Calibri Light"/>
          <w:b/>
          <w:bCs/>
          <w:iCs/>
          <w:sz w:val="26"/>
          <w:szCs w:val="26"/>
          <w:lang w:val="sq-AL"/>
        </w:rPr>
        <w:t xml:space="preserve"> së Komunave </w:t>
      </w:r>
      <w:r w:rsidRPr="005B4B81">
        <w:rPr>
          <w:rFonts w:ascii="Calibri Light" w:hAnsi="Calibri Light"/>
          <w:b/>
          <w:sz w:val="26"/>
          <w:szCs w:val="26"/>
          <w:lang w:val="sq-AL"/>
        </w:rPr>
        <w:t xml:space="preserve">2017, mund ta gjeni ne </w:t>
      </w:r>
      <w:proofErr w:type="spellStart"/>
      <w:r w:rsidRPr="005B4B81">
        <w:rPr>
          <w:rFonts w:ascii="Calibri Light" w:hAnsi="Calibri Light"/>
          <w:b/>
          <w:sz w:val="26"/>
          <w:szCs w:val="26"/>
          <w:lang w:val="sq-AL"/>
        </w:rPr>
        <w:t>ueb.faqen</w:t>
      </w:r>
      <w:proofErr w:type="spellEnd"/>
      <w:r w:rsidRPr="005B4B81">
        <w:rPr>
          <w:rFonts w:ascii="Calibri Light" w:hAnsi="Calibri Light"/>
          <w:b/>
          <w:sz w:val="26"/>
          <w:szCs w:val="26"/>
          <w:lang w:val="sq-AL"/>
        </w:rPr>
        <w:t xml:space="preserve"> e Ministrisë së administrimit te pushtetit lokal</w:t>
      </w:r>
      <w:r>
        <w:rPr>
          <w:rFonts w:ascii="Calibri Light" w:hAnsi="Calibri Light"/>
          <w:b/>
          <w:sz w:val="26"/>
          <w:szCs w:val="26"/>
          <w:lang w:val="sq-AL"/>
        </w:rPr>
        <w:t xml:space="preserve">, shiko </w:t>
      </w:r>
      <w:proofErr w:type="spellStart"/>
      <w:r>
        <w:rPr>
          <w:rFonts w:ascii="Calibri Light" w:hAnsi="Calibri Light"/>
          <w:b/>
          <w:sz w:val="26"/>
          <w:szCs w:val="26"/>
          <w:lang w:val="sq-AL"/>
        </w:rPr>
        <w:t>linkun</w:t>
      </w:r>
      <w:proofErr w:type="spellEnd"/>
      <w:r>
        <w:rPr>
          <w:rFonts w:ascii="Calibri Light" w:hAnsi="Calibri Light"/>
          <w:b/>
          <w:sz w:val="26"/>
          <w:szCs w:val="26"/>
          <w:lang w:val="sq-AL"/>
        </w:rPr>
        <w:t xml:space="preserve"> si me </w:t>
      </w:r>
      <w:r w:rsidR="0080445F">
        <w:rPr>
          <w:rFonts w:ascii="Calibri Light" w:hAnsi="Calibri Light"/>
          <w:b/>
          <w:sz w:val="26"/>
          <w:szCs w:val="26"/>
          <w:lang w:val="sq-AL"/>
        </w:rPr>
        <w:t>poshtë</w:t>
      </w:r>
      <w:r w:rsidRPr="005B4B81">
        <w:rPr>
          <w:rFonts w:ascii="Calibri Light" w:hAnsi="Calibri Light"/>
          <w:b/>
          <w:sz w:val="40"/>
          <w:szCs w:val="40"/>
          <w:lang w:val="sq-AL"/>
        </w:rPr>
        <w:t xml:space="preserve"> </w:t>
      </w:r>
    </w:p>
    <w:p w:rsidR="005B4B81" w:rsidRPr="005B4B81" w:rsidRDefault="005B4B81" w:rsidP="005B4B81">
      <w:pPr>
        <w:spacing w:after="0"/>
        <w:jc w:val="both"/>
        <w:rPr>
          <w:rFonts w:ascii="Calibri Light" w:hAnsi="Calibri Light"/>
          <w:sz w:val="26"/>
          <w:szCs w:val="26"/>
          <w:lang w:val="sq-AL"/>
        </w:rPr>
      </w:pPr>
      <w:r w:rsidRPr="005B4B81">
        <w:rPr>
          <w:rFonts w:ascii="Calibri Light" w:hAnsi="Calibri Light"/>
          <w:sz w:val="26"/>
          <w:szCs w:val="26"/>
          <w:lang w:val="sq-AL"/>
        </w:rPr>
        <w:t>https://mapl.rks-gov.net/raporti-</w:t>
      </w:r>
      <w:r>
        <w:rPr>
          <w:rFonts w:ascii="Calibri Light" w:hAnsi="Calibri Light"/>
          <w:sz w:val="26"/>
          <w:szCs w:val="26"/>
          <w:lang w:val="sq-AL"/>
        </w:rPr>
        <w:t>i-performances-se-komunave-2017</w:t>
      </w:r>
    </w:p>
    <w:p w:rsidR="000128DE" w:rsidRPr="005B4B81" w:rsidRDefault="000128DE" w:rsidP="000128DE">
      <w:pPr>
        <w:tabs>
          <w:tab w:val="left" w:pos="900"/>
        </w:tabs>
        <w:spacing w:after="0" w:line="240" w:lineRule="auto"/>
        <w:jc w:val="both"/>
        <w:rPr>
          <w:rFonts w:ascii="Calibri Light" w:hAnsi="Calibri Light"/>
          <w:lang w:val="sq-AL"/>
        </w:rPr>
      </w:pPr>
    </w:p>
    <w:p w:rsidR="004847AF" w:rsidRPr="005B4B81" w:rsidRDefault="004847AF" w:rsidP="002F4ABE">
      <w:pPr>
        <w:rPr>
          <w:lang w:val="sq-AL"/>
        </w:rPr>
      </w:pPr>
    </w:p>
    <w:sectPr w:rsidR="004847AF" w:rsidRPr="005B4B81" w:rsidSect="00326042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E75"/>
    <w:multiLevelType w:val="hybridMultilevel"/>
    <w:tmpl w:val="DAB4E96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D6F32"/>
    <w:multiLevelType w:val="hybridMultilevel"/>
    <w:tmpl w:val="5AEC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3F7D"/>
    <w:multiLevelType w:val="hybridMultilevel"/>
    <w:tmpl w:val="5362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B6575"/>
    <w:multiLevelType w:val="hybridMultilevel"/>
    <w:tmpl w:val="FB6E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83D87"/>
    <w:multiLevelType w:val="hybridMultilevel"/>
    <w:tmpl w:val="ED84A5D2"/>
    <w:lvl w:ilvl="0" w:tplc="E692E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E586B"/>
    <w:multiLevelType w:val="hybridMultilevel"/>
    <w:tmpl w:val="931E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512A2"/>
    <w:multiLevelType w:val="hybridMultilevel"/>
    <w:tmpl w:val="0B4C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D0ABB"/>
    <w:multiLevelType w:val="hybridMultilevel"/>
    <w:tmpl w:val="D082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85D83"/>
    <w:multiLevelType w:val="hybridMultilevel"/>
    <w:tmpl w:val="642A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4162A"/>
    <w:multiLevelType w:val="multilevel"/>
    <w:tmpl w:val="7FF2E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0907966"/>
    <w:multiLevelType w:val="hybridMultilevel"/>
    <w:tmpl w:val="240C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D008E"/>
    <w:multiLevelType w:val="hybridMultilevel"/>
    <w:tmpl w:val="D87E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96345"/>
    <w:multiLevelType w:val="hybridMultilevel"/>
    <w:tmpl w:val="1E66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C0D7C"/>
    <w:multiLevelType w:val="hybridMultilevel"/>
    <w:tmpl w:val="129E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A2649"/>
    <w:multiLevelType w:val="hybridMultilevel"/>
    <w:tmpl w:val="CAA0142E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5">
    <w:nsid w:val="38347312"/>
    <w:multiLevelType w:val="hybridMultilevel"/>
    <w:tmpl w:val="B9C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522DD"/>
    <w:multiLevelType w:val="hybridMultilevel"/>
    <w:tmpl w:val="4630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A237A"/>
    <w:multiLevelType w:val="hybridMultilevel"/>
    <w:tmpl w:val="75DA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E50F6"/>
    <w:multiLevelType w:val="hybridMultilevel"/>
    <w:tmpl w:val="52F2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6408E"/>
    <w:multiLevelType w:val="multilevel"/>
    <w:tmpl w:val="85E4F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3D509B9"/>
    <w:multiLevelType w:val="hybridMultilevel"/>
    <w:tmpl w:val="4208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16E54"/>
    <w:multiLevelType w:val="multilevel"/>
    <w:tmpl w:val="7FF2E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A3049D1"/>
    <w:multiLevelType w:val="hybridMultilevel"/>
    <w:tmpl w:val="4220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F1D7C"/>
    <w:multiLevelType w:val="hybridMultilevel"/>
    <w:tmpl w:val="89DE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87693"/>
    <w:multiLevelType w:val="hybridMultilevel"/>
    <w:tmpl w:val="80F6D2E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4EEF6DF3"/>
    <w:multiLevelType w:val="hybridMultilevel"/>
    <w:tmpl w:val="CB0631F8"/>
    <w:lvl w:ilvl="0" w:tplc="53A8A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51563"/>
    <w:multiLevelType w:val="hybridMultilevel"/>
    <w:tmpl w:val="6BD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13142"/>
    <w:multiLevelType w:val="hybridMultilevel"/>
    <w:tmpl w:val="FE84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CE1CE4"/>
    <w:multiLevelType w:val="hybridMultilevel"/>
    <w:tmpl w:val="F5C0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65BE0"/>
    <w:multiLevelType w:val="hybridMultilevel"/>
    <w:tmpl w:val="F3A2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C51DE"/>
    <w:multiLevelType w:val="hybridMultilevel"/>
    <w:tmpl w:val="E67C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C5EEE"/>
    <w:multiLevelType w:val="hybridMultilevel"/>
    <w:tmpl w:val="0B4EFD9A"/>
    <w:lvl w:ilvl="0" w:tplc="BA46B8A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A6AD3"/>
    <w:multiLevelType w:val="hybridMultilevel"/>
    <w:tmpl w:val="F40AB744"/>
    <w:lvl w:ilvl="0" w:tplc="53A8A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1E02EE"/>
    <w:multiLevelType w:val="multilevel"/>
    <w:tmpl w:val="38709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9077774"/>
    <w:multiLevelType w:val="hybridMultilevel"/>
    <w:tmpl w:val="9942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40695"/>
    <w:multiLevelType w:val="multilevel"/>
    <w:tmpl w:val="DA56A8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6">
    <w:nsid w:val="6F85110A"/>
    <w:multiLevelType w:val="hybridMultilevel"/>
    <w:tmpl w:val="A5E0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63EF5"/>
    <w:multiLevelType w:val="hybridMultilevel"/>
    <w:tmpl w:val="EC12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E7471"/>
    <w:multiLevelType w:val="hybridMultilevel"/>
    <w:tmpl w:val="76FAB6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7E90355"/>
    <w:multiLevelType w:val="hybridMultilevel"/>
    <w:tmpl w:val="0B9CAF1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0">
    <w:nsid w:val="792012AD"/>
    <w:multiLevelType w:val="hybridMultilevel"/>
    <w:tmpl w:val="363A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653C9"/>
    <w:multiLevelType w:val="hybridMultilevel"/>
    <w:tmpl w:val="0106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21C5C"/>
    <w:multiLevelType w:val="hybridMultilevel"/>
    <w:tmpl w:val="5922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B50DB"/>
    <w:multiLevelType w:val="hybridMultilevel"/>
    <w:tmpl w:val="3E8841A2"/>
    <w:lvl w:ilvl="0" w:tplc="53A8A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A7E70"/>
    <w:multiLevelType w:val="hybridMultilevel"/>
    <w:tmpl w:val="74AE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35"/>
  </w:num>
  <w:num w:numId="5">
    <w:abstractNumId w:val="9"/>
  </w:num>
  <w:num w:numId="6">
    <w:abstractNumId w:val="38"/>
  </w:num>
  <w:num w:numId="7">
    <w:abstractNumId w:val="29"/>
  </w:num>
  <w:num w:numId="8">
    <w:abstractNumId w:val="19"/>
  </w:num>
  <w:num w:numId="9">
    <w:abstractNumId w:val="33"/>
  </w:num>
  <w:num w:numId="10">
    <w:abstractNumId w:val="0"/>
  </w:num>
  <w:num w:numId="11">
    <w:abstractNumId w:val="31"/>
  </w:num>
  <w:num w:numId="12">
    <w:abstractNumId w:val="13"/>
  </w:num>
  <w:num w:numId="13">
    <w:abstractNumId w:val="2"/>
  </w:num>
  <w:num w:numId="14">
    <w:abstractNumId w:val="39"/>
  </w:num>
  <w:num w:numId="15">
    <w:abstractNumId w:val="6"/>
  </w:num>
  <w:num w:numId="16">
    <w:abstractNumId w:val="10"/>
  </w:num>
  <w:num w:numId="17">
    <w:abstractNumId w:val="17"/>
  </w:num>
  <w:num w:numId="18">
    <w:abstractNumId w:val="43"/>
  </w:num>
  <w:num w:numId="19">
    <w:abstractNumId w:val="32"/>
  </w:num>
  <w:num w:numId="20">
    <w:abstractNumId w:val="25"/>
  </w:num>
  <w:num w:numId="21">
    <w:abstractNumId w:val="1"/>
  </w:num>
  <w:num w:numId="22">
    <w:abstractNumId w:val="42"/>
  </w:num>
  <w:num w:numId="23">
    <w:abstractNumId w:val="5"/>
  </w:num>
  <w:num w:numId="24">
    <w:abstractNumId w:val="22"/>
  </w:num>
  <w:num w:numId="25">
    <w:abstractNumId w:val="27"/>
  </w:num>
  <w:num w:numId="26">
    <w:abstractNumId w:val="12"/>
  </w:num>
  <w:num w:numId="27">
    <w:abstractNumId w:val="44"/>
  </w:num>
  <w:num w:numId="28">
    <w:abstractNumId w:val="16"/>
  </w:num>
  <w:num w:numId="29">
    <w:abstractNumId w:val="30"/>
  </w:num>
  <w:num w:numId="30">
    <w:abstractNumId w:val="34"/>
  </w:num>
  <w:num w:numId="31">
    <w:abstractNumId w:val="28"/>
  </w:num>
  <w:num w:numId="32">
    <w:abstractNumId w:val="7"/>
  </w:num>
  <w:num w:numId="33">
    <w:abstractNumId w:val="3"/>
  </w:num>
  <w:num w:numId="34">
    <w:abstractNumId w:val="14"/>
  </w:num>
  <w:num w:numId="35">
    <w:abstractNumId w:val="23"/>
  </w:num>
  <w:num w:numId="36">
    <w:abstractNumId w:val="41"/>
  </w:num>
  <w:num w:numId="37">
    <w:abstractNumId w:val="37"/>
  </w:num>
  <w:num w:numId="38">
    <w:abstractNumId w:val="8"/>
  </w:num>
  <w:num w:numId="39">
    <w:abstractNumId w:val="40"/>
  </w:num>
  <w:num w:numId="40">
    <w:abstractNumId w:val="20"/>
  </w:num>
  <w:num w:numId="41">
    <w:abstractNumId w:val="26"/>
  </w:num>
  <w:num w:numId="42">
    <w:abstractNumId w:val="36"/>
  </w:num>
  <w:num w:numId="43">
    <w:abstractNumId w:val="18"/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F4ABE"/>
    <w:rsid w:val="000128DE"/>
    <w:rsid w:val="001444EA"/>
    <w:rsid w:val="00253EE9"/>
    <w:rsid w:val="002F4ABE"/>
    <w:rsid w:val="00326042"/>
    <w:rsid w:val="004847AF"/>
    <w:rsid w:val="004E39D7"/>
    <w:rsid w:val="005A48AC"/>
    <w:rsid w:val="005B0010"/>
    <w:rsid w:val="005B4B81"/>
    <w:rsid w:val="0066462F"/>
    <w:rsid w:val="0080445F"/>
    <w:rsid w:val="0089314D"/>
    <w:rsid w:val="00C73FE7"/>
    <w:rsid w:val="00EF27E4"/>
    <w:rsid w:val="00F4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0" w:unhideWhenUsed="0"/>
    <w:lsdException w:name="Medium Grid 2 Accent 2" w:semiHidden="0" w:uiPriority="73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9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4D"/>
  </w:style>
  <w:style w:type="paragraph" w:styleId="Heading1">
    <w:name w:val="heading 1"/>
    <w:basedOn w:val="Normal"/>
    <w:next w:val="Normal"/>
    <w:link w:val="Heading1Char"/>
    <w:uiPriority w:val="9"/>
    <w:qFormat/>
    <w:rsid w:val="000128D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0128D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F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4AB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128DE"/>
    <w:rPr>
      <w:rFonts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28DE"/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0128DE"/>
    <w:rPr>
      <w:rFonts w:ascii="Arial" w:eastAsia="Times New Roman" w:hAnsi="Arial" w:cs="Times New Roman"/>
      <w:b/>
      <w:bCs/>
      <w:i/>
      <w:iCs/>
      <w:sz w:val="28"/>
      <w:szCs w:val="28"/>
      <w:lang w:val="sq-AL"/>
    </w:rPr>
  </w:style>
  <w:style w:type="paragraph" w:styleId="Title">
    <w:name w:val="Title"/>
    <w:basedOn w:val="Normal"/>
    <w:link w:val="TitleChar"/>
    <w:qFormat/>
    <w:rsid w:val="000128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0128DE"/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paragraph" w:styleId="NoSpacing">
    <w:name w:val="No Spacing"/>
    <w:link w:val="NoSpacingChar"/>
    <w:uiPriority w:val="1"/>
    <w:qFormat/>
    <w:rsid w:val="000128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128D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128DE"/>
    <w:pPr>
      <w:ind w:left="720"/>
    </w:pPr>
    <w:rPr>
      <w:rFonts w:ascii="Calibri" w:eastAsia="MS Mincho" w:hAnsi="Calibri" w:cs="Times New Roman"/>
      <w:noProof/>
      <w:lang w:val="sq-AL"/>
    </w:rPr>
  </w:style>
  <w:style w:type="table" w:styleId="TableGrid">
    <w:name w:val="Table Grid"/>
    <w:basedOn w:val="TableNormal"/>
    <w:uiPriority w:val="39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Grid-Accent1">
    <w:name w:val="Colorful Grid Accent 1"/>
    <w:basedOn w:val="TableNormal"/>
    <w:uiPriority w:val="73"/>
    <w:rsid w:val="000128DE"/>
    <w:pPr>
      <w:spacing w:after="0" w:line="240" w:lineRule="auto"/>
    </w:pPr>
    <w:rPr>
      <w:rFonts w:ascii="Calibri" w:eastAsia="MS Mincho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FootnoteText">
    <w:name w:val="footnote text"/>
    <w:basedOn w:val="Normal"/>
    <w:link w:val="FootnoteTextChar"/>
    <w:uiPriority w:val="99"/>
    <w:rsid w:val="0001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28DE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uiPriority w:val="99"/>
    <w:rsid w:val="000128DE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0128DE"/>
    <w:rPr>
      <w:rFonts w:ascii="Calibri" w:eastAsia="MS Mincho" w:hAnsi="Calibri" w:cs="Times New Roman"/>
      <w:noProof/>
      <w:lang w:val="sq-AL"/>
    </w:rPr>
  </w:style>
  <w:style w:type="paragraph" w:customStyle="1" w:styleId="Normal1">
    <w:name w:val="Normal1"/>
    <w:basedOn w:val="Normal"/>
    <w:rsid w:val="0001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semiHidden/>
    <w:rsid w:val="000128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semiHidden/>
    <w:rsid w:val="000128D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BodyText2">
    <w:name w:val="Body Text 2"/>
    <w:basedOn w:val="Normal"/>
    <w:link w:val="BodyText2Char"/>
    <w:semiHidden/>
    <w:rsid w:val="000128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semiHidden/>
    <w:rsid w:val="000128DE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odyTextIndent2">
    <w:name w:val="Body Text Indent 2"/>
    <w:basedOn w:val="Normal"/>
    <w:link w:val="BodyTextIndent2Char"/>
    <w:semiHidden/>
    <w:rsid w:val="000128DE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noProof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128DE"/>
    <w:rPr>
      <w:rFonts w:ascii="Times New Roman" w:eastAsia="Times New Roman" w:hAnsi="Times New Roman" w:cs="Times New Roman"/>
      <w:noProof/>
      <w:sz w:val="24"/>
      <w:szCs w:val="24"/>
      <w:lang w:val="ru-RU"/>
    </w:rPr>
  </w:style>
  <w:style w:type="paragraph" w:customStyle="1" w:styleId="1tekst">
    <w:name w:val="1tekst"/>
    <w:basedOn w:val="Normal"/>
    <w:rsid w:val="000128DE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128DE"/>
    <w:pPr>
      <w:autoSpaceDE w:val="0"/>
      <w:autoSpaceDN w:val="0"/>
      <w:adjustRightInd w:val="0"/>
      <w:spacing w:after="0" w:line="201" w:lineRule="atLeast"/>
    </w:pPr>
    <w:rPr>
      <w:rFonts w:ascii="Rockwell" w:eastAsia="MS Mincho" w:hAnsi="Rockwell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128DE"/>
  </w:style>
  <w:style w:type="character" w:customStyle="1" w:styleId="ColorfulList-Accent1Char">
    <w:name w:val="Colorful List - Accent 1 Char"/>
    <w:link w:val="ColorfulList-Accent1"/>
    <w:uiPriority w:val="72"/>
    <w:rsid w:val="000128DE"/>
    <w:rPr>
      <w:noProof/>
      <w:sz w:val="22"/>
      <w:szCs w:val="22"/>
      <w:lang w:val="sq-AL"/>
    </w:rPr>
  </w:style>
  <w:style w:type="table" w:styleId="MediumShading2-Accent6">
    <w:name w:val="Medium Shading 2 Accent 6"/>
    <w:basedOn w:val="TableNormal"/>
    <w:uiPriority w:val="69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2-Accent2">
    <w:name w:val="Medium Grid 2 Accent 2"/>
    <w:basedOn w:val="TableNormal"/>
    <w:uiPriority w:val="73"/>
    <w:rsid w:val="000128DE"/>
    <w:pPr>
      <w:spacing w:after="0" w:line="240" w:lineRule="auto"/>
    </w:pPr>
    <w:rPr>
      <w:rFonts w:ascii="Calibri" w:eastAsia="MS Mincho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harCharCharCharCharChar">
    <w:name w:val="Char Char Char Char Char Char"/>
    <w:basedOn w:val="Normal"/>
    <w:rsid w:val="000128D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128DE"/>
    <w:pPr>
      <w:tabs>
        <w:tab w:val="center" w:pos="4680"/>
        <w:tab w:val="right" w:pos="9360"/>
      </w:tabs>
    </w:pPr>
    <w:rPr>
      <w:rFonts w:ascii="Calibri" w:eastAsia="MS Mincho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128DE"/>
    <w:rPr>
      <w:rFonts w:ascii="Calibri" w:eastAsia="MS Mincho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28DE"/>
    <w:pPr>
      <w:tabs>
        <w:tab w:val="center" w:pos="4680"/>
        <w:tab w:val="right" w:pos="9360"/>
      </w:tabs>
    </w:pPr>
    <w:rPr>
      <w:rFonts w:ascii="Calibri" w:eastAsia="MS Mincho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128DE"/>
    <w:rPr>
      <w:rFonts w:ascii="Calibri" w:eastAsia="MS Mincho" w:hAnsi="Calibri" w:cs="Times New Roman"/>
      <w:lang w:val="en-GB"/>
    </w:rPr>
  </w:style>
  <w:style w:type="character" w:customStyle="1" w:styleId="st">
    <w:name w:val="st"/>
    <w:rsid w:val="000128DE"/>
  </w:style>
  <w:style w:type="character" w:styleId="Emphasis">
    <w:name w:val="Emphasis"/>
    <w:uiPriority w:val="20"/>
    <w:qFormat/>
    <w:rsid w:val="000128DE"/>
    <w:rPr>
      <w:i/>
      <w:iCs/>
    </w:rPr>
  </w:style>
  <w:style w:type="character" w:styleId="Hyperlink">
    <w:name w:val="Hyperlink"/>
    <w:uiPriority w:val="99"/>
    <w:unhideWhenUsed/>
    <w:rsid w:val="000128DE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8DE"/>
    <w:rPr>
      <w:rFonts w:ascii="Calibri" w:eastAsia="MS Mincho" w:hAnsi="Calibri" w:cs="Times New Roman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8DE"/>
    <w:rPr>
      <w:rFonts w:ascii="Calibri" w:eastAsia="MS Mincho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8DE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8DE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128DE"/>
    <w:pPr>
      <w:tabs>
        <w:tab w:val="right" w:leader="dot" w:pos="9350"/>
      </w:tabs>
      <w:spacing w:line="240" w:lineRule="auto"/>
      <w:jc w:val="both"/>
    </w:pPr>
    <w:rPr>
      <w:rFonts w:eastAsia="MS Mincho" w:cs="Times New Roman"/>
      <w:b/>
      <w:lang w:val="sq-AL"/>
    </w:rPr>
  </w:style>
  <w:style w:type="paragraph" w:customStyle="1" w:styleId="MediumGrid22">
    <w:name w:val="Medium Grid 22"/>
    <w:link w:val="MediumGrid2Char"/>
    <w:uiPriority w:val="1"/>
    <w:qFormat/>
    <w:rsid w:val="000128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ediumGrid2Char">
    <w:name w:val="Medium Grid 2 Char"/>
    <w:link w:val="MediumGrid22"/>
    <w:uiPriority w:val="1"/>
    <w:rsid w:val="000128DE"/>
    <w:rPr>
      <w:rFonts w:ascii="Calibri" w:eastAsia="Times New Roman" w:hAnsi="Calibri" w:cs="Times New Roman"/>
    </w:rPr>
  </w:style>
  <w:style w:type="character" w:customStyle="1" w:styleId="MediumGrid1-Accent2Char">
    <w:name w:val="Medium Grid 1 - Accent 2 Char"/>
    <w:link w:val="MediumGrid1-Accent2"/>
    <w:rsid w:val="000128DE"/>
    <w:rPr>
      <w:noProof/>
      <w:sz w:val="22"/>
      <w:szCs w:val="22"/>
      <w:lang w:val="sq-AL"/>
    </w:rPr>
  </w:style>
  <w:style w:type="table" w:styleId="MediumGrid1-Accent2">
    <w:name w:val="Medium Grid 1 Accent 2"/>
    <w:basedOn w:val="TableNormal"/>
    <w:link w:val="MediumGrid1-Accent2Char"/>
    <w:rsid w:val="000128DE"/>
    <w:pPr>
      <w:spacing w:after="0" w:line="240" w:lineRule="auto"/>
    </w:pPr>
    <w:rPr>
      <w:noProof/>
      <w:lang w:val="sq-AL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apple-converted-space">
    <w:name w:val="apple-converted-space"/>
    <w:rsid w:val="000128DE"/>
  </w:style>
  <w:style w:type="character" w:customStyle="1" w:styleId="ColorfulList-Accent1Char1">
    <w:name w:val="Colorful List - Accent 1 Char1"/>
    <w:rsid w:val="000128DE"/>
    <w:rPr>
      <w:noProof/>
      <w:sz w:val="22"/>
      <w:szCs w:val="22"/>
      <w:lang w:val="sq-AL"/>
    </w:rPr>
  </w:style>
  <w:style w:type="paragraph" w:customStyle="1" w:styleId="ColorfulList-Accent11">
    <w:name w:val="Colorful List - Accent 11"/>
    <w:basedOn w:val="Normal"/>
    <w:qFormat/>
    <w:rsid w:val="000128DE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ps">
    <w:name w:val="hps"/>
    <w:rsid w:val="000128DE"/>
  </w:style>
  <w:style w:type="table" w:styleId="ColorfulGrid-Accent5">
    <w:name w:val="Colorful Grid Accent 5"/>
    <w:basedOn w:val="TableNormal"/>
    <w:uiPriority w:val="73"/>
    <w:rsid w:val="000128DE"/>
    <w:pPr>
      <w:spacing w:after="0" w:line="240" w:lineRule="auto"/>
    </w:pPr>
    <w:rPr>
      <w:rFonts w:ascii="Calibri" w:eastAsia="MS Mincho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LightShading-Accent11">
    <w:name w:val="Light Shading - Accent 11"/>
    <w:basedOn w:val="TableNormal"/>
    <w:uiPriority w:val="60"/>
    <w:rsid w:val="000128DE"/>
    <w:pPr>
      <w:spacing w:after="0" w:line="240" w:lineRule="auto"/>
    </w:pPr>
    <w:rPr>
      <w:rFonts w:ascii="Calibri" w:eastAsia="MS Mincho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MediumGrid21">
    <w:name w:val="Medium Grid 21"/>
    <w:uiPriority w:val="1"/>
    <w:qFormat/>
    <w:rsid w:val="000128DE"/>
    <w:pPr>
      <w:spacing w:after="0" w:line="240" w:lineRule="auto"/>
    </w:pPr>
    <w:rPr>
      <w:rFonts w:ascii="Calibri" w:eastAsia="Times New Roman" w:hAnsi="Calibri" w:cs="Times New Roman"/>
    </w:rPr>
  </w:style>
  <w:style w:type="table" w:styleId="LightShading-Accent2">
    <w:name w:val="Light Shading Accent 2"/>
    <w:basedOn w:val="TableNormal"/>
    <w:uiPriority w:val="60"/>
    <w:qFormat/>
    <w:rsid w:val="000128DE"/>
    <w:pPr>
      <w:spacing w:after="0" w:line="240" w:lineRule="auto"/>
    </w:pPr>
    <w:rPr>
      <w:rFonts w:ascii="Calibri" w:eastAsia="MS Mincho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Default">
    <w:name w:val="Default"/>
    <w:rsid w:val="000128DE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paragraph" w:customStyle="1" w:styleId="NoSpacing1">
    <w:name w:val="No Spacing1"/>
    <w:uiPriority w:val="1"/>
    <w:qFormat/>
    <w:rsid w:val="000128DE"/>
    <w:pPr>
      <w:spacing w:after="0" w:line="240" w:lineRule="auto"/>
    </w:pPr>
    <w:rPr>
      <w:rFonts w:ascii="Calibri" w:eastAsia="Times New Roman" w:hAnsi="Calibri" w:cs="Times New Roman"/>
    </w:rPr>
  </w:style>
  <w:style w:type="table" w:styleId="LightGrid-Accent5">
    <w:name w:val="Light Grid Accent 5"/>
    <w:basedOn w:val="TableNormal"/>
    <w:uiPriority w:val="62"/>
    <w:rsid w:val="000128DE"/>
    <w:pPr>
      <w:spacing w:after="0" w:line="240" w:lineRule="auto"/>
    </w:pPr>
    <w:rPr>
      <w:rFonts w:ascii="Calibri" w:eastAsia="MS Mincho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01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2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28DE"/>
    <w:rPr>
      <w:rFonts w:ascii="Courier New" w:eastAsia="Times New Roman" w:hAnsi="Courier New" w:cs="Times New Roman"/>
      <w:sz w:val="20"/>
      <w:szCs w:val="20"/>
      <w:lang w:val="sq-AL"/>
    </w:rPr>
  </w:style>
  <w:style w:type="table" w:styleId="ColorfulList-Accent1">
    <w:name w:val="Colorful List Accent 1"/>
    <w:basedOn w:val="TableNormal"/>
    <w:link w:val="ColorfulList-Accent1Char"/>
    <w:uiPriority w:val="72"/>
    <w:rsid w:val="000128DE"/>
    <w:pPr>
      <w:spacing w:after="0" w:line="240" w:lineRule="auto"/>
    </w:pPr>
    <w:rPr>
      <w:noProof/>
      <w:lang w:val="sq-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2-Accent11">
    <w:name w:val="Grid Table 2 - Accent 11"/>
    <w:basedOn w:val="TableNormal"/>
    <w:uiPriority w:val="47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128DE"/>
  </w:style>
  <w:style w:type="character" w:styleId="FollowedHyperlink">
    <w:name w:val="FollowedHyperlink"/>
    <w:uiPriority w:val="99"/>
    <w:semiHidden/>
    <w:unhideWhenUsed/>
    <w:rsid w:val="000128DE"/>
    <w:rPr>
      <w:color w:val="954F72"/>
      <w:u w:val="single"/>
    </w:rPr>
  </w:style>
  <w:style w:type="paragraph" w:customStyle="1" w:styleId="font5">
    <w:name w:val="font5"/>
    <w:basedOn w:val="Normal"/>
    <w:rsid w:val="000128D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128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128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0128D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97">
    <w:name w:val="xl397"/>
    <w:basedOn w:val="Normal"/>
    <w:rsid w:val="0001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8">
    <w:name w:val="xl398"/>
    <w:basedOn w:val="Normal"/>
    <w:rsid w:val="000128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9">
    <w:name w:val="xl399"/>
    <w:basedOn w:val="Normal"/>
    <w:rsid w:val="000128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0">
    <w:name w:val="xl400"/>
    <w:basedOn w:val="Normal"/>
    <w:rsid w:val="000128D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0128DE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02">
    <w:name w:val="xl402"/>
    <w:basedOn w:val="Normal"/>
    <w:rsid w:val="000128DE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Century Gothic" w:eastAsia="Times New Roman" w:hAnsi="Century Gothic" w:cs="Times New Roman"/>
      <w:color w:val="000000"/>
      <w:sz w:val="14"/>
      <w:szCs w:val="14"/>
    </w:rPr>
  </w:style>
  <w:style w:type="paragraph" w:customStyle="1" w:styleId="xl403">
    <w:name w:val="xl403"/>
    <w:basedOn w:val="Normal"/>
    <w:rsid w:val="000128D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4">
    <w:name w:val="xl404"/>
    <w:basedOn w:val="Normal"/>
    <w:rsid w:val="000128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5">
    <w:name w:val="xl405"/>
    <w:basedOn w:val="Normal"/>
    <w:rsid w:val="000128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6">
    <w:name w:val="xl406"/>
    <w:basedOn w:val="Normal"/>
    <w:rsid w:val="000128D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</w:rPr>
  </w:style>
  <w:style w:type="paragraph" w:customStyle="1" w:styleId="xl407">
    <w:name w:val="xl407"/>
    <w:basedOn w:val="Normal"/>
    <w:rsid w:val="000128D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8">
    <w:name w:val="xl408"/>
    <w:basedOn w:val="Normal"/>
    <w:rsid w:val="000128DE"/>
    <w:pP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9">
    <w:name w:val="xl409"/>
    <w:basedOn w:val="Normal"/>
    <w:rsid w:val="000128DE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0">
    <w:name w:val="xl410"/>
    <w:basedOn w:val="Normal"/>
    <w:rsid w:val="000128D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1">
    <w:name w:val="xl411"/>
    <w:basedOn w:val="Normal"/>
    <w:rsid w:val="000128D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2">
    <w:name w:val="xl412"/>
    <w:basedOn w:val="Normal"/>
    <w:rsid w:val="000128D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3">
    <w:name w:val="xl413"/>
    <w:basedOn w:val="Normal"/>
    <w:rsid w:val="000128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4">
    <w:name w:val="xl414"/>
    <w:basedOn w:val="Normal"/>
    <w:rsid w:val="000128DE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</w:rPr>
  </w:style>
  <w:style w:type="paragraph" w:customStyle="1" w:styleId="xl415">
    <w:name w:val="xl415"/>
    <w:basedOn w:val="Normal"/>
    <w:rsid w:val="000128D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2"/>
      <w:szCs w:val="12"/>
    </w:rPr>
  </w:style>
  <w:style w:type="paragraph" w:customStyle="1" w:styleId="xl416">
    <w:name w:val="xl416"/>
    <w:basedOn w:val="Normal"/>
    <w:rsid w:val="000128D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7">
    <w:name w:val="xl417"/>
    <w:basedOn w:val="Normal"/>
    <w:rsid w:val="000128DE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8">
    <w:name w:val="xl418"/>
    <w:basedOn w:val="Normal"/>
    <w:rsid w:val="000128DE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</w:rPr>
  </w:style>
  <w:style w:type="table" w:customStyle="1" w:styleId="ListTable2-Accent41">
    <w:name w:val="List Table 2 - Accent 41"/>
    <w:basedOn w:val="TableNormal"/>
    <w:uiPriority w:val="47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2-Accent51">
    <w:name w:val="List Table 2 - Accent 51"/>
    <w:basedOn w:val="TableNormal"/>
    <w:uiPriority w:val="47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128DE"/>
    <w:pPr>
      <w:spacing w:after="0" w:line="240" w:lineRule="auto"/>
    </w:pPr>
    <w:rPr>
      <w:rFonts w:ascii="Tahoma" w:eastAsia="MS Mincho" w:hAnsi="Tahoma" w:cs="Tahoma"/>
      <w:noProof/>
      <w:sz w:val="16"/>
      <w:szCs w:val="16"/>
      <w:lang w:val="sq-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28DE"/>
    <w:rPr>
      <w:rFonts w:ascii="Tahoma" w:eastAsia="MS Mincho" w:hAnsi="Tahoma" w:cs="Tahoma"/>
      <w:noProof/>
      <w:sz w:val="16"/>
      <w:szCs w:val="16"/>
      <w:lang w:val="sq-AL"/>
    </w:rPr>
  </w:style>
  <w:style w:type="numbering" w:customStyle="1" w:styleId="NoList2">
    <w:name w:val="No List2"/>
    <w:next w:val="NoList"/>
    <w:uiPriority w:val="99"/>
    <w:semiHidden/>
    <w:unhideWhenUsed/>
    <w:rsid w:val="000128DE"/>
  </w:style>
  <w:style w:type="numbering" w:customStyle="1" w:styleId="NoList3">
    <w:name w:val="No List3"/>
    <w:next w:val="NoList"/>
    <w:uiPriority w:val="99"/>
    <w:semiHidden/>
    <w:unhideWhenUsed/>
    <w:rsid w:val="000128DE"/>
  </w:style>
  <w:style w:type="table" w:customStyle="1" w:styleId="TableGrid1">
    <w:name w:val="Table Grid1"/>
    <w:basedOn w:val="TableNormal"/>
    <w:next w:val="TableGrid"/>
    <w:uiPriority w:val="59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51">
    <w:name w:val="Medium Grid 3 - Accent 51"/>
    <w:basedOn w:val="TableNormal"/>
    <w:next w:val="MediumGrid3-Accent5"/>
    <w:uiPriority w:val="69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0128DE"/>
    <w:pPr>
      <w:spacing w:after="0" w:line="240" w:lineRule="auto"/>
    </w:pPr>
    <w:rPr>
      <w:rFonts w:ascii="Calibri" w:eastAsia="MS Mincho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0128DE"/>
  </w:style>
  <w:style w:type="table" w:customStyle="1" w:styleId="MediumShading2-Accent61">
    <w:name w:val="Medium Shading 2 - Accent 61"/>
    <w:basedOn w:val="TableNormal"/>
    <w:next w:val="MediumShading2-Accent6"/>
    <w:uiPriority w:val="69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73"/>
    <w:rsid w:val="000128DE"/>
    <w:pPr>
      <w:spacing w:after="0" w:line="240" w:lineRule="auto"/>
    </w:pPr>
    <w:rPr>
      <w:rFonts w:ascii="Calibri" w:eastAsia="MS Mincho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1">
    <w:name w:val="Medium Grid 1 - Accent 21"/>
    <w:basedOn w:val="TableNormal"/>
    <w:next w:val="MediumGrid1-Accent2"/>
    <w:rsid w:val="000128DE"/>
    <w:pPr>
      <w:spacing w:after="0" w:line="240" w:lineRule="auto"/>
    </w:pPr>
    <w:rPr>
      <w:rFonts w:eastAsia="MS Mincho"/>
      <w:noProof/>
      <w:lang w:val="sq-AL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0128DE"/>
    <w:pPr>
      <w:spacing w:after="0" w:line="240" w:lineRule="auto"/>
    </w:pPr>
    <w:rPr>
      <w:rFonts w:ascii="Calibri" w:eastAsia="MS Mincho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LightShading-Accent111">
    <w:name w:val="Light Shading - Accent 111"/>
    <w:basedOn w:val="TableNormal"/>
    <w:uiPriority w:val="60"/>
    <w:rsid w:val="000128DE"/>
    <w:pPr>
      <w:spacing w:after="0" w:line="240" w:lineRule="auto"/>
    </w:pPr>
    <w:rPr>
      <w:rFonts w:ascii="Calibri" w:eastAsia="MS Mincho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qFormat/>
    <w:rsid w:val="000128DE"/>
    <w:pPr>
      <w:spacing w:after="0" w:line="240" w:lineRule="auto"/>
    </w:pPr>
    <w:rPr>
      <w:rFonts w:ascii="Calibri" w:eastAsia="MS Mincho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0128DE"/>
    <w:pPr>
      <w:spacing w:after="0" w:line="240" w:lineRule="auto"/>
    </w:pPr>
    <w:rPr>
      <w:rFonts w:ascii="Calibri" w:eastAsia="MS Mincho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olorfulList-Accent12">
    <w:name w:val="Colorful List - Accent 12"/>
    <w:basedOn w:val="TableNormal"/>
    <w:next w:val="ColorfulList-Accent1"/>
    <w:uiPriority w:val="72"/>
    <w:rsid w:val="000128DE"/>
    <w:pPr>
      <w:spacing w:after="0" w:line="240" w:lineRule="auto"/>
    </w:pPr>
    <w:rPr>
      <w:rFonts w:eastAsia="MS Mincho"/>
      <w:noProof/>
      <w:lang w:val="sq-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2-Accent111">
    <w:name w:val="Grid Table 2 - Accent 111"/>
    <w:basedOn w:val="TableNormal"/>
    <w:uiPriority w:val="47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2-Accent411">
    <w:name w:val="List Table 2 - Accent 411"/>
    <w:basedOn w:val="TableNormal"/>
    <w:uiPriority w:val="47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2-Accent511">
    <w:name w:val="List Table 2 - Accent 511"/>
    <w:basedOn w:val="TableNormal"/>
    <w:uiPriority w:val="47"/>
    <w:rsid w:val="000128D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MediumGrid1-Accent22">
    <w:name w:val="Medium Grid 1 - Accent 22"/>
    <w:basedOn w:val="TableNormal"/>
    <w:next w:val="MediumGrid1-Accent2"/>
    <w:rsid w:val="000128DE"/>
    <w:pPr>
      <w:spacing w:after="0" w:line="240" w:lineRule="auto"/>
    </w:pPr>
    <w:rPr>
      <w:rFonts w:eastAsia="MS Mincho"/>
      <w:noProof/>
      <w:lang w:val="sq-AL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List-Accent13">
    <w:name w:val="Colorful List - Accent 13"/>
    <w:basedOn w:val="TableNormal"/>
    <w:next w:val="ColorfulList-Accent1"/>
    <w:uiPriority w:val="72"/>
    <w:rsid w:val="000128DE"/>
    <w:pPr>
      <w:spacing w:after="0" w:line="240" w:lineRule="auto"/>
    </w:pPr>
    <w:rPr>
      <w:rFonts w:eastAsia="MS Mincho"/>
      <w:noProof/>
      <w:lang w:val="sq-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MediumGrid1-Accent211">
    <w:name w:val="Medium Grid 1 - Accent 211"/>
    <w:basedOn w:val="TableNormal"/>
    <w:next w:val="MediumGrid1-Accent2"/>
    <w:rsid w:val="000128DE"/>
    <w:pPr>
      <w:spacing w:after="0" w:line="240" w:lineRule="auto"/>
    </w:pPr>
    <w:rPr>
      <w:rFonts w:eastAsia="MS Mincho"/>
      <w:noProof/>
      <w:lang w:val="sq-AL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List-Accent121">
    <w:name w:val="Colorful List - Accent 121"/>
    <w:basedOn w:val="TableNormal"/>
    <w:next w:val="ColorfulList-Accent1"/>
    <w:uiPriority w:val="72"/>
    <w:rsid w:val="000128DE"/>
    <w:pPr>
      <w:spacing w:after="0" w:line="240" w:lineRule="auto"/>
    </w:pPr>
    <w:rPr>
      <w:rFonts w:eastAsia="MS Mincho"/>
      <w:noProof/>
      <w:lang w:val="sq-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zar.mitic\Desktop\Glavni%20dokument%20i%20uputstva\Srpski%20jezik\Baze%20za%20obradu%20podataka%202017%20sa%20novim%20indikatorim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PK\Raporte%20te%20performances\Raportet%202017\Perpunimi%20i%20te%20dhenave\Baza%20per%20shkallen%20e%20dokumentimit%20te%20%20te%20dhenave%202017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zar.mitic\Desktop\Glavni%20dokument%20i%20uputstva\Srpski%20jezik\Baze%20za%20obradu%20podataka%202017%20sa%20novim%20indikatori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1" u="none" strike="noStrike" kern="1200" spc="0" baseline="0">
              <a:solidFill>
                <a:schemeClr val="accent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'Fushat 1 - 14 + ri'!$C$49</c:f>
              <c:strCache>
                <c:ptCount val="1"/>
                <c:pt idx="0">
                  <c:v>Arritjet e përgjithshme të performancës sipas komunave</c:v>
                </c:pt>
              </c:strCache>
            </c:strRef>
          </c:tx>
          <c:spPr>
            <a:solidFill>
              <a:srgbClr val="66FF99"/>
            </a:solidFill>
            <a:ln>
              <a:noFill/>
            </a:ln>
            <a:effectLst/>
          </c:spPr>
          <c:dPt>
            <c:idx val="0"/>
            <c:spPr>
              <a:solidFill>
                <a:srgbClr val="FFFF00"/>
              </a:solidFill>
              <a:ln>
                <a:noFill/>
              </a:ln>
              <a:effectLst/>
            </c:spPr>
          </c:dPt>
          <c:dPt>
            <c:idx val="5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15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29"/>
            <c:spPr>
              <a:solidFill>
                <a:srgbClr val="00CC99"/>
              </a:solidFill>
              <a:ln>
                <a:noFill/>
              </a:ln>
              <a:effectLst/>
            </c:spPr>
          </c:dPt>
          <c:dPt>
            <c:idx val="30"/>
            <c:spPr>
              <a:solidFill>
                <a:srgbClr val="00CC99"/>
              </a:solidFill>
              <a:ln>
                <a:noFill/>
              </a:ln>
              <a:effectLst/>
            </c:spPr>
          </c:dPt>
          <c:dPt>
            <c:idx val="31"/>
            <c:spPr>
              <a:solidFill>
                <a:srgbClr val="00CC99"/>
              </a:solidFill>
              <a:ln>
                <a:noFill/>
              </a:ln>
              <a:effectLst/>
            </c:spPr>
          </c:dPt>
          <c:dPt>
            <c:idx val="32"/>
            <c:spPr>
              <a:solidFill>
                <a:srgbClr val="00CC99"/>
              </a:solidFill>
              <a:ln>
                <a:noFill/>
              </a:ln>
              <a:effectLst/>
            </c:spPr>
          </c:dPt>
          <c:dPt>
            <c:idx val="33"/>
            <c:spPr>
              <a:solidFill>
                <a:srgbClr val="00CC99"/>
              </a:solidFill>
              <a:ln>
                <a:noFill/>
              </a:ln>
              <a:effectLst/>
            </c:spPr>
          </c:dPt>
          <c:dPt>
            <c:idx val="34"/>
            <c:spPr>
              <a:solidFill>
                <a:srgbClr val="00CC99"/>
              </a:solidFill>
              <a:ln>
                <a:noFill/>
              </a:ln>
              <a:effectLst/>
            </c:spPr>
          </c:dPt>
          <c:dPt>
            <c:idx val="35"/>
            <c:spPr>
              <a:solidFill>
                <a:srgbClr val="00CC99"/>
              </a:solidFill>
              <a:ln>
                <a:noFill/>
              </a:ln>
              <a:effectLst/>
            </c:spPr>
          </c:dPt>
          <c:dPt>
            <c:idx val="36"/>
            <c:spPr>
              <a:solidFill>
                <a:srgbClr val="00CC99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'Fushat 1 - 14 + ri'!$B$50:$B$86</c:f>
              <c:strCache>
                <c:ptCount val="37"/>
                <c:pt idx="0">
                  <c:v>Mamushë</c:v>
                </c:pt>
                <c:pt idx="1">
                  <c:v>Kllokot </c:v>
                </c:pt>
                <c:pt idx="2">
                  <c:v>Partesh </c:v>
                </c:pt>
                <c:pt idx="3">
                  <c:v>Shtërpcë</c:v>
                </c:pt>
                <c:pt idx="4">
                  <c:v>Novobërdë</c:v>
                </c:pt>
                <c:pt idx="5">
                  <c:v>Leposaviq</c:v>
                </c:pt>
                <c:pt idx="6">
                  <c:v>Ranillug </c:v>
                </c:pt>
                <c:pt idx="7">
                  <c:v>Suharekë</c:v>
                </c:pt>
                <c:pt idx="8">
                  <c:v>Graçanicë</c:v>
                </c:pt>
                <c:pt idx="9">
                  <c:v>Kamenicë</c:v>
                </c:pt>
                <c:pt idx="10">
                  <c:v>Skenderaj </c:v>
                </c:pt>
                <c:pt idx="11">
                  <c:v>Rahovec</c:v>
                </c:pt>
                <c:pt idx="12">
                  <c:v>Klinë</c:v>
                </c:pt>
                <c:pt idx="13">
                  <c:v>Gjakovë</c:v>
                </c:pt>
                <c:pt idx="14">
                  <c:v>Mitrovicë</c:v>
                </c:pt>
                <c:pt idx="15">
                  <c:v>Kosova</c:v>
                </c:pt>
                <c:pt idx="16">
                  <c:v>Viti </c:v>
                </c:pt>
                <c:pt idx="17">
                  <c:v>Malishevë</c:v>
                </c:pt>
                <c:pt idx="18">
                  <c:v>Obiliq</c:v>
                </c:pt>
                <c:pt idx="19">
                  <c:v>Kaqanik </c:v>
                </c:pt>
                <c:pt idx="20">
                  <c:v>Hani Elezit </c:v>
                </c:pt>
                <c:pt idx="21">
                  <c:v>Zveçan</c:v>
                </c:pt>
                <c:pt idx="22">
                  <c:v>Podujevë</c:v>
                </c:pt>
                <c:pt idx="23">
                  <c:v>Prizren </c:v>
                </c:pt>
                <c:pt idx="24">
                  <c:v>Shtime </c:v>
                </c:pt>
                <c:pt idx="25">
                  <c:v>Vushtrri </c:v>
                </c:pt>
                <c:pt idx="26">
                  <c:v>Fushe Kosovë</c:v>
                </c:pt>
                <c:pt idx="27">
                  <c:v>Ferizaj</c:v>
                </c:pt>
                <c:pt idx="28">
                  <c:v>Peje </c:v>
                </c:pt>
                <c:pt idx="29">
                  <c:v>Deçan</c:v>
                </c:pt>
                <c:pt idx="30">
                  <c:v>Prishtinë</c:v>
                </c:pt>
                <c:pt idx="31">
                  <c:v>Lipjan </c:v>
                </c:pt>
                <c:pt idx="32">
                  <c:v>Istog </c:v>
                </c:pt>
                <c:pt idx="33">
                  <c:v>Gllogoc </c:v>
                </c:pt>
                <c:pt idx="34">
                  <c:v>Gjilan </c:v>
                </c:pt>
                <c:pt idx="35">
                  <c:v>Dragash </c:v>
                </c:pt>
                <c:pt idx="36">
                  <c:v>Junik </c:v>
                </c:pt>
              </c:strCache>
            </c:strRef>
          </c:cat>
          <c:val>
            <c:numRef>
              <c:f>'Fushat 1 - 14 + ri'!$C$50:$C$86</c:f>
              <c:numCache>
                <c:formatCode>0.00</c:formatCode>
                <c:ptCount val="37"/>
                <c:pt idx="0">
                  <c:v>33.239178105760629</c:v>
                </c:pt>
                <c:pt idx="1">
                  <c:v>35.496926166746078</c:v>
                </c:pt>
                <c:pt idx="2">
                  <c:v>42.540668890424293</c:v>
                </c:pt>
                <c:pt idx="3">
                  <c:v>42.972084988784275</c:v>
                </c:pt>
                <c:pt idx="4">
                  <c:v>45.036962422593646</c:v>
                </c:pt>
                <c:pt idx="5">
                  <c:v>49.950757575757343</c:v>
                </c:pt>
                <c:pt idx="6">
                  <c:v>51.231045353107135</c:v>
                </c:pt>
                <c:pt idx="7">
                  <c:v>51.339524610329455</c:v>
                </c:pt>
                <c:pt idx="8">
                  <c:v>53.999952073843701</c:v>
                </c:pt>
                <c:pt idx="9">
                  <c:v>54.330132008825629</c:v>
                </c:pt>
                <c:pt idx="10">
                  <c:v>55.540376669782795</c:v>
                </c:pt>
                <c:pt idx="11">
                  <c:v>55.603835083326594</c:v>
                </c:pt>
                <c:pt idx="12">
                  <c:v>57.865920498302046</c:v>
                </c:pt>
                <c:pt idx="13">
                  <c:v>57.904928138118713</c:v>
                </c:pt>
                <c:pt idx="14">
                  <c:v>58.130383122431361</c:v>
                </c:pt>
                <c:pt idx="15">
                  <c:v>59.467878932565668</c:v>
                </c:pt>
                <c:pt idx="16">
                  <c:v>59.572814277741394</c:v>
                </c:pt>
                <c:pt idx="17">
                  <c:v>59.814714542314441</c:v>
                </c:pt>
                <c:pt idx="18">
                  <c:v>60.750444778345319</c:v>
                </c:pt>
                <c:pt idx="19">
                  <c:v>61.15891262807061</c:v>
                </c:pt>
                <c:pt idx="20">
                  <c:v>61.8943984272899</c:v>
                </c:pt>
                <c:pt idx="21">
                  <c:v>62.978321652693275</c:v>
                </c:pt>
                <c:pt idx="22">
                  <c:v>63.675430195202196</c:v>
                </c:pt>
                <c:pt idx="23">
                  <c:v>63.866994167898895</c:v>
                </c:pt>
                <c:pt idx="24">
                  <c:v>63.955972550568141</c:v>
                </c:pt>
                <c:pt idx="25">
                  <c:v>64.617539971775457</c:v>
                </c:pt>
                <c:pt idx="26">
                  <c:v>66.064667676604799</c:v>
                </c:pt>
                <c:pt idx="27">
                  <c:v>66.161826521203466</c:v>
                </c:pt>
                <c:pt idx="28">
                  <c:v>66.525488702108149</c:v>
                </c:pt>
                <c:pt idx="29">
                  <c:v>67.063023806855298</c:v>
                </c:pt>
                <c:pt idx="30">
                  <c:v>67.539491371139178</c:v>
                </c:pt>
                <c:pt idx="31">
                  <c:v>68.026187304005859</c:v>
                </c:pt>
                <c:pt idx="32">
                  <c:v>68.278321434398578</c:v>
                </c:pt>
                <c:pt idx="33">
                  <c:v>70.172004603728098</c:v>
                </c:pt>
                <c:pt idx="34">
                  <c:v>71.851630931159789</c:v>
                </c:pt>
                <c:pt idx="35">
                  <c:v>75.204071256107312</c:v>
                </c:pt>
                <c:pt idx="36">
                  <c:v>79.68263160934481</c:v>
                </c:pt>
              </c:numCache>
            </c:numRef>
          </c:val>
        </c:ser>
        <c:gapWidth val="182"/>
        <c:axId val="78554624"/>
        <c:axId val="78573568"/>
      </c:barChart>
      <c:catAx>
        <c:axId val="785546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573568"/>
        <c:crosses val="autoZero"/>
        <c:auto val="1"/>
        <c:lblAlgn val="ctr"/>
        <c:lblOffset val="100"/>
      </c:catAx>
      <c:valAx>
        <c:axId val="785735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55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Shkalla e dokumentimit të të dhënave</a:t>
            </a:r>
            <a:r>
              <a:rPr lang="en-US" baseline="0"/>
              <a:t> 2017</a:t>
            </a:r>
            <a:endParaRPr lang="sq-AL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rgbClr val="339966"/>
            </a:solidFill>
            <a:ln>
              <a:noFill/>
            </a:ln>
            <a:effectLst/>
          </c:spPr>
          <c:dPt>
            <c:idx val="0"/>
            <c:spPr>
              <a:solidFill>
                <a:srgbClr val="FF9966"/>
              </a:solidFill>
              <a:ln>
                <a:noFill/>
              </a:ln>
              <a:effectLst/>
            </c:spPr>
          </c:dPt>
          <c:dPt>
            <c:idx val="1"/>
            <c:spPr>
              <a:solidFill>
                <a:srgbClr val="FF9966"/>
              </a:solidFill>
              <a:ln>
                <a:noFill/>
              </a:ln>
              <a:effectLst/>
            </c:spPr>
          </c:dPt>
          <c:dPt>
            <c:idx val="2"/>
            <c:spPr>
              <a:solidFill>
                <a:srgbClr val="FF9966"/>
              </a:solidFill>
              <a:ln>
                <a:noFill/>
              </a:ln>
              <a:effectLst/>
            </c:spPr>
          </c:dPt>
          <c:dPt>
            <c:idx val="3"/>
            <c:spPr>
              <a:solidFill>
                <a:srgbClr val="FF9966"/>
              </a:solidFill>
              <a:ln>
                <a:noFill/>
              </a:ln>
              <a:effectLst/>
            </c:spPr>
          </c:dPt>
          <c:dPt>
            <c:idx val="4"/>
            <c:spPr>
              <a:solidFill>
                <a:srgbClr val="FF9966"/>
              </a:solidFill>
              <a:ln>
                <a:noFill/>
              </a:ln>
              <a:effectLst/>
            </c:spPr>
          </c:dPt>
          <c:dPt>
            <c:idx val="5"/>
            <c:spPr>
              <a:solidFill>
                <a:srgbClr val="66FF99"/>
              </a:solidFill>
              <a:ln>
                <a:noFill/>
              </a:ln>
              <a:effectLst/>
            </c:spPr>
          </c:dPt>
          <c:dPt>
            <c:idx val="6"/>
            <c:spPr>
              <a:solidFill>
                <a:srgbClr val="66FF99"/>
              </a:solidFill>
              <a:ln>
                <a:noFill/>
              </a:ln>
              <a:effectLst/>
            </c:spPr>
          </c:dPt>
          <c:dPt>
            <c:idx val="7"/>
            <c:spPr>
              <a:solidFill>
                <a:srgbClr val="66FF99"/>
              </a:solidFill>
              <a:ln>
                <a:noFill/>
              </a:ln>
              <a:effectLst/>
            </c:spPr>
          </c:dPt>
          <c:dPt>
            <c:idx val="8"/>
            <c:spPr>
              <a:solidFill>
                <a:srgbClr val="66FF99"/>
              </a:solidFill>
              <a:ln>
                <a:noFill/>
              </a:ln>
              <a:effectLst/>
            </c:spPr>
          </c:dPt>
          <c:dPt>
            <c:idx val="9"/>
            <c:spPr>
              <a:solidFill>
                <a:srgbClr val="66FF99"/>
              </a:solidFill>
              <a:ln>
                <a:noFill/>
              </a:ln>
              <a:effectLst/>
            </c:spPr>
          </c:dPt>
          <c:dPt>
            <c:idx val="10"/>
            <c:spPr>
              <a:solidFill>
                <a:srgbClr val="66FF99"/>
              </a:solidFill>
              <a:ln>
                <a:noFill/>
              </a:ln>
              <a:effectLst/>
            </c:spPr>
          </c:dPt>
          <c:dPt>
            <c:idx val="11"/>
            <c:spPr>
              <a:solidFill>
                <a:srgbClr val="66FF99"/>
              </a:solidFill>
              <a:ln>
                <a:noFill/>
              </a:ln>
              <a:effectLst/>
            </c:spPr>
          </c:dPt>
          <c:dPt>
            <c:idx val="12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'Nivelet e saktesise'!$A$88:$A$122</c:f>
              <c:strCache>
                <c:ptCount val="35"/>
                <c:pt idx="0">
                  <c:v>Kllokot </c:v>
                </c:pt>
                <c:pt idx="1">
                  <c:v>Mitrovicë</c:v>
                </c:pt>
                <c:pt idx="2">
                  <c:v>Prishtinë</c:v>
                </c:pt>
                <c:pt idx="3">
                  <c:v>Hani Elezit </c:v>
                </c:pt>
                <c:pt idx="4">
                  <c:v>Gjakovë</c:v>
                </c:pt>
                <c:pt idx="5">
                  <c:v>Obiliq</c:v>
                </c:pt>
                <c:pt idx="6">
                  <c:v>Deçan</c:v>
                </c:pt>
                <c:pt idx="7">
                  <c:v>Rahovec</c:v>
                </c:pt>
                <c:pt idx="8">
                  <c:v>Mamushë</c:v>
                </c:pt>
                <c:pt idx="9">
                  <c:v>Lipjan </c:v>
                </c:pt>
                <c:pt idx="10">
                  <c:v>Shtime </c:v>
                </c:pt>
                <c:pt idx="11">
                  <c:v>Klinë</c:v>
                </c:pt>
                <c:pt idx="12">
                  <c:v>Kosova</c:v>
                </c:pt>
                <c:pt idx="13">
                  <c:v>Peje </c:v>
                </c:pt>
                <c:pt idx="14">
                  <c:v>Istog </c:v>
                </c:pt>
                <c:pt idx="15">
                  <c:v>Graçanicë</c:v>
                </c:pt>
                <c:pt idx="16">
                  <c:v>Gllogoc </c:v>
                </c:pt>
                <c:pt idx="17">
                  <c:v>Suharekë</c:v>
                </c:pt>
                <c:pt idx="18">
                  <c:v>Prizren </c:v>
                </c:pt>
                <c:pt idx="19">
                  <c:v>Viti </c:v>
                </c:pt>
                <c:pt idx="20">
                  <c:v>Ranillug </c:v>
                </c:pt>
                <c:pt idx="21">
                  <c:v>Partesh </c:v>
                </c:pt>
                <c:pt idx="22">
                  <c:v>Skenderaj </c:v>
                </c:pt>
                <c:pt idx="23">
                  <c:v>Vushtrri </c:v>
                </c:pt>
                <c:pt idx="24">
                  <c:v>Fushe Kosovë</c:v>
                </c:pt>
                <c:pt idx="25">
                  <c:v>Junik </c:v>
                </c:pt>
                <c:pt idx="26">
                  <c:v>Kaqanik </c:v>
                </c:pt>
                <c:pt idx="27">
                  <c:v>Kamenicë</c:v>
                </c:pt>
                <c:pt idx="28">
                  <c:v>Podujevë</c:v>
                </c:pt>
                <c:pt idx="29">
                  <c:v>Gjilan </c:v>
                </c:pt>
                <c:pt idx="30">
                  <c:v>Dragash </c:v>
                </c:pt>
                <c:pt idx="31">
                  <c:v>Malishevë</c:v>
                </c:pt>
                <c:pt idx="32">
                  <c:v>Shtërpcë</c:v>
                </c:pt>
                <c:pt idx="33">
                  <c:v>Novobërdë</c:v>
                </c:pt>
                <c:pt idx="34">
                  <c:v>Ferizaj</c:v>
                </c:pt>
              </c:strCache>
            </c:strRef>
          </c:cat>
          <c:val>
            <c:numRef>
              <c:f>'Nivelet e saktesise'!$B$88:$B$122</c:f>
              <c:numCache>
                <c:formatCode>0.0</c:formatCode>
                <c:ptCount val="35"/>
                <c:pt idx="0">
                  <c:v>1.5625</c:v>
                </c:pt>
                <c:pt idx="1">
                  <c:v>3.125</c:v>
                </c:pt>
                <c:pt idx="2">
                  <c:v>15.625</c:v>
                </c:pt>
                <c:pt idx="3">
                  <c:v>21.875</c:v>
                </c:pt>
                <c:pt idx="4">
                  <c:v>25</c:v>
                </c:pt>
                <c:pt idx="5">
                  <c:v>43.75</c:v>
                </c:pt>
                <c:pt idx="6">
                  <c:v>45.45454545454519</c:v>
                </c:pt>
                <c:pt idx="7">
                  <c:v>48.4375</c:v>
                </c:pt>
                <c:pt idx="8">
                  <c:v>50</c:v>
                </c:pt>
                <c:pt idx="9">
                  <c:v>51.562500000000163</c:v>
                </c:pt>
                <c:pt idx="10">
                  <c:v>62.5</c:v>
                </c:pt>
                <c:pt idx="11">
                  <c:v>64.0625</c:v>
                </c:pt>
                <c:pt idx="12">
                  <c:v>66.8</c:v>
                </c:pt>
                <c:pt idx="13">
                  <c:v>70.3125</c:v>
                </c:pt>
                <c:pt idx="14">
                  <c:v>71.874999999999986</c:v>
                </c:pt>
                <c:pt idx="15">
                  <c:v>73.437500000000227</c:v>
                </c:pt>
                <c:pt idx="16">
                  <c:v>75</c:v>
                </c:pt>
                <c:pt idx="17">
                  <c:v>75</c:v>
                </c:pt>
                <c:pt idx="18">
                  <c:v>81.25</c:v>
                </c:pt>
                <c:pt idx="19">
                  <c:v>81.25</c:v>
                </c:pt>
                <c:pt idx="20">
                  <c:v>82.8125</c:v>
                </c:pt>
                <c:pt idx="21">
                  <c:v>84.374999999999986</c:v>
                </c:pt>
                <c:pt idx="22">
                  <c:v>85.937500000000227</c:v>
                </c:pt>
                <c:pt idx="23">
                  <c:v>85.937500000000227</c:v>
                </c:pt>
                <c:pt idx="24">
                  <c:v>87.5</c:v>
                </c:pt>
                <c:pt idx="25">
                  <c:v>89.0625</c:v>
                </c:pt>
                <c:pt idx="26">
                  <c:v>90.624999999999986</c:v>
                </c:pt>
                <c:pt idx="27">
                  <c:v>92.1875</c:v>
                </c:pt>
                <c:pt idx="28">
                  <c:v>93.75</c:v>
                </c:pt>
                <c:pt idx="29">
                  <c:v>95.3125</c:v>
                </c:pt>
                <c:pt idx="30">
                  <c:v>96.874999999999986</c:v>
                </c:pt>
                <c:pt idx="31">
                  <c:v>96.874999999999986</c:v>
                </c:pt>
                <c:pt idx="32">
                  <c:v>96.874999999999986</c:v>
                </c:pt>
                <c:pt idx="33">
                  <c:v>98.437500000000227</c:v>
                </c:pt>
                <c:pt idx="34">
                  <c:v>100</c:v>
                </c:pt>
              </c:numCache>
            </c:numRef>
          </c:val>
        </c:ser>
        <c:gapWidth val="80"/>
        <c:axId val="82184448"/>
        <c:axId val="82523648"/>
      </c:barChart>
      <c:catAx>
        <c:axId val="821844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523648"/>
        <c:crosses val="autoZero"/>
        <c:auto val="1"/>
        <c:lblAlgn val="ctr"/>
        <c:lblOffset val="100"/>
      </c:catAx>
      <c:valAx>
        <c:axId val="825236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18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'Komuna - fusha + ri'!$AL$85</c:f>
              <c:strCache>
                <c:ptCount val="1"/>
                <c:pt idx="0">
                  <c:v>Suharekë</c:v>
                </c:pt>
              </c:strCache>
            </c:strRef>
          </c:tx>
          <c:spPr>
            <a:solidFill>
              <a:srgbClr val="66FF99"/>
            </a:solidFill>
            <a:ln>
              <a:noFill/>
            </a:ln>
            <a:effectLst/>
          </c:spPr>
          <c:dPt>
            <c:idx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1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7"/>
            <c:spPr>
              <a:solidFill>
                <a:srgbClr val="FF9933"/>
              </a:solidFill>
              <a:ln>
                <a:noFill/>
              </a:ln>
              <a:effectLst/>
            </c:spPr>
          </c:dPt>
          <c:dPt>
            <c:idx val="10"/>
            <c:spPr>
              <a:solidFill>
                <a:srgbClr val="00CC99"/>
              </a:solidFill>
              <a:ln>
                <a:noFill/>
              </a:ln>
              <a:effectLst/>
            </c:spPr>
          </c:dPt>
          <c:dPt>
            <c:idx val="11"/>
            <c:spPr>
              <a:solidFill>
                <a:srgbClr val="00CC99"/>
              </a:solidFill>
              <a:ln>
                <a:noFill/>
              </a:ln>
              <a:effectLst/>
            </c:spPr>
          </c:dPt>
          <c:dPt>
            <c:idx val="12"/>
            <c:spPr>
              <a:solidFill>
                <a:srgbClr val="00CC99"/>
              </a:solidFill>
              <a:ln>
                <a:noFill/>
              </a:ln>
              <a:effectLst/>
            </c:spPr>
          </c:dPt>
          <c:dPt>
            <c:idx val="13"/>
            <c:spPr>
              <a:solidFill>
                <a:srgbClr val="00CC99"/>
              </a:solidFill>
              <a:ln>
                <a:noFill/>
              </a:ln>
              <a:effectLst/>
            </c:spPr>
          </c:dPt>
          <c:dLbls>
            <c:dLbl>
              <c:idx val="0"/>
              <c:dLblPos val="inBase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inBase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'Komuna - fusha + ri'!$AK$86:$AK$99</c:f>
              <c:strCache>
                <c:ptCount val="14"/>
                <c:pt idx="0">
                  <c:v>Fusha 3</c:v>
                </c:pt>
                <c:pt idx="1">
                  <c:v>Fusha 10</c:v>
                </c:pt>
                <c:pt idx="2">
                  <c:v>Fusha 9</c:v>
                </c:pt>
                <c:pt idx="3">
                  <c:v>Fusha 6</c:v>
                </c:pt>
                <c:pt idx="4">
                  <c:v>Fusha 8</c:v>
                </c:pt>
                <c:pt idx="5">
                  <c:v>Fusha 2</c:v>
                </c:pt>
                <c:pt idx="6">
                  <c:v>Fusha 5</c:v>
                </c:pt>
                <c:pt idx="7">
                  <c:v>Mesatarja</c:v>
                </c:pt>
                <c:pt idx="8">
                  <c:v>Fusha 12</c:v>
                </c:pt>
                <c:pt idx="9">
                  <c:v>Fusha 14</c:v>
                </c:pt>
                <c:pt idx="10">
                  <c:v>Fusha 11</c:v>
                </c:pt>
                <c:pt idx="11">
                  <c:v>Fusha 13</c:v>
                </c:pt>
                <c:pt idx="12">
                  <c:v>Fusha 4</c:v>
                </c:pt>
                <c:pt idx="13">
                  <c:v>Fusha 1</c:v>
                </c:pt>
              </c:strCache>
            </c:strRef>
          </c:cat>
          <c:val>
            <c:numRef>
              <c:f>'Komuna - fusha + ri'!$AL$86:$AL$99</c:f>
              <c:numCache>
                <c:formatCode>General</c:formatCode>
                <c:ptCount val="14"/>
                <c:pt idx="0">
                  <c:v>18.556733506503235</c:v>
                </c:pt>
                <c:pt idx="1">
                  <c:v>22.348484848484826</c:v>
                </c:pt>
                <c:pt idx="2">
                  <c:v>33.615397378463584</c:v>
                </c:pt>
                <c:pt idx="3">
                  <c:v>34.643899618802955</c:v>
                </c:pt>
                <c:pt idx="4">
                  <c:v>38.930007211838245</c:v>
                </c:pt>
                <c:pt idx="5">
                  <c:v>44.166666666666394</c:v>
                </c:pt>
                <c:pt idx="6">
                  <c:v>50</c:v>
                </c:pt>
                <c:pt idx="7">
                  <c:v>53.754081848507056</c:v>
                </c:pt>
                <c:pt idx="8">
                  <c:v>56.999860807508057</c:v>
                </c:pt>
                <c:pt idx="9">
                  <c:v>64.655172413792471</c:v>
                </c:pt>
                <c:pt idx="10">
                  <c:v>66.901612553315644</c:v>
                </c:pt>
                <c:pt idx="11">
                  <c:v>84.106356357079875</c:v>
                </c:pt>
                <c:pt idx="12">
                  <c:v>87.116702738190398</c:v>
                </c:pt>
                <c:pt idx="13">
                  <c:v>96.76216992994469</c:v>
                </c:pt>
              </c:numCache>
            </c:numRef>
          </c:val>
        </c:ser>
        <c:gapWidth val="110"/>
        <c:overlap val="-50"/>
        <c:axId val="93344128"/>
        <c:axId val="94441856"/>
      </c:barChart>
      <c:catAx>
        <c:axId val="933441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441856"/>
        <c:crosses val="autoZero"/>
        <c:auto val="1"/>
        <c:lblAlgn val="ctr"/>
        <c:lblOffset val="100"/>
      </c:catAx>
      <c:valAx>
        <c:axId val="94441856"/>
        <c:scaling>
          <c:orientation val="minMax"/>
          <c:max val="1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34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2082</Words>
  <Characters>11870</Characters>
  <Application>Microsoft Office Word</Application>
  <DocSecurity>0</DocSecurity>
  <Lines>98</Lines>
  <Paragraphs>27</Paragraphs>
  <ScaleCrop>false</ScaleCrop>
  <Company>Microsoft</Company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cp:lastPrinted>2018-11-30T09:46:00Z</cp:lastPrinted>
  <dcterms:created xsi:type="dcterms:W3CDTF">2018-11-30T09:10:00Z</dcterms:created>
  <dcterms:modified xsi:type="dcterms:W3CDTF">2018-11-30T09:50:00Z</dcterms:modified>
</cp:coreProperties>
</file>